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before="0" w:after="0" w:line="560" w:lineRule="exact"/>
        <w:jc w:val="center"/>
        <w:rPr>
          <w:rStyle w:val="20"/>
          <w:rFonts w:ascii="方正小标宋简体" w:hAnsi="仿宋_GB2312" w:eastAsia="方正小标宋简体" w:cs="仿宋_GB2312"/>
          <w:color w:val="auto"/>
          <w:u w:val="none"/>
        </w:rPr>
      </w:pPr>
    </w:p>
    <w:p>
      <w:pPr>
        <w:pStyle w:val="16"/>
        <w:spacing w:before="0" w:after="0" w:line="560" w:lineRule="exact"/>
        <w:jc w:val="center"/>
        <w:rPr>
          <w:rStyle w:val="20"/>
          <w:rFonts w:ascii="方正小标宋简体" w:hAnsi="仿宋_GB2312" w:eastAsia="方正小标宋简体" w:cs="仿宋_GB2312"/>
          <w:color w:val="auto"/>
          <w:u w:val="none"/>
        </w:rPr>
      </w:pPr>
    </w:p>
    <w:p>
      <w:pPr>
        <w:pStyle w:val="16"/>
        <w:spacing w:before="0" w:after="0" w:line="560" w:lineRule="exact"/>
        <w:jc w:val="center"/>
        <w:rPr>
          <w:rStyle w:val="20"/>
          <w:rFonts w:ascii="方正小标宋简体" w:hAnsi="仿宋_GB2312" w:eastAsia="方正小标宋简体" w:cs="仿宋_GB2312"/>
          <w:color w:val="auto"/>
          <w:u w:val="none"/>
        </w:rPr>
      </w:pPr>
    </w:p>
    <w:p>
      <w:pPr>
        <w:pStyle w:val="16"/>
        <w:spacing w:before="0" w:after="0" w:line="560" w:lineRule="exact"/>
        <w:jc w:val="center"/>
        <w:rPr>
          <w:rStyle w:val="20"/>
          <w:rFonts w:ascii="方正小标宋简体" w:hAnsi="仿宋_GB2312" w:eastAsia="方正小标宋简体" w:cs="仿宋_GB2312"/>
          <w:color w:val="auto"/>
          <w:u w:val="none"/>
        </w:rPr>
      </w:pPr>
    </w:p>
    <w:p>
      <w:pPr>
        <w:pStyle w:val="16"/>
        <w:spacing w:before="0" w:after="0" w:line="480" w:lineRule="auto"/>
        <w:jc w:val="center"/>
        <w:rPr>
          <w:rStyle w:val="20"/>
          <w:rFonts w:ascii="方正小标宋简体" w:hAnsi="仿宋_GB2312" w:eastAsia="方正小标宋简体" w:cs="仿宋_GB2312"/>
          <w:color w:val="auto"/>
          <w:sz w:val="52"/>
          <w:szCs w:val="52"/>
          <w:u w:val="none"/>
        </w:rPr>
      </w:pPr>
      <w:r>
        <w:rPr>
          <w:rStyle w:val="20"/>
          <w:rFonts w:ascii="方正小标宋简体" w:hAnsi="仿宋_GB2312" w:eastAsia="方正小标宋简体" w:cs="仿宋_GB2312"/>
          <w:color w:val="auto"/>
          <w:sz w:val="52"/>
          <w:szCs w:val="52"/>
          <w:u w:val="none"/>
        </w:rPr>
        <w:t>北京印刷学院“十四五”发展规划</w:t>
      </w:r>
    </w:p>
    <w:p>
      <w:pPr>
        <w:pStyle w:val="16"/>
        <w:spacing w:before="0" w:after="0" w:line="480" w:lineRule="auto"/>
        <w:jc w:val="center"/>
        <w:rPr>
          <w:rStyle w:val="20"/>
          <w:rFonts w:ascii="方正小标宋简体" w:hAnsi="仿宋_GB2312" w:eastAsia="方正小标宋简体" w:cs="仿宋_GB2312"/>
          <w:color w:val="auto"/>
          <w:sz w:val="52"/>
          <w:szCs w:val="52"/>
          <w:u w:val="none"/>
        </w:rPr>
      </w:pPr>
      <w:r>
        <w:rPr>
          <w:rStyle w:val="20"/>
          <w:rFonts w:ascii="方正小标宋简体" w:hAnsi="仿宋_GB2312" w:eastAsia="方正小标宋简体" w:cs="仿宋_GB2312"/>
          <w:color w:val="auto"/>
          <w:sz w:val="52"/>
          <w:szCs w:val="52"/>
          <w:u w:val="none"/>
        </w:rPr>
        <w:t>（2021-2025年）</w:t>
      </w:r>
    </w:p>
    <w:p>
      <w:pPr>
        <w:spacing w:line="480" w:lineRule="auto"/>
        <w:jc w:val="center"/>
        <w:rPr>
          <w:rStyle w:val="20"/>
          <w:rFonts w:ascii="仿宋_GB2312" w:hAnsi="仿宋_GB2312" w:eastAsia="仿宋_GB2312"/>
          <w:color w:val="auto"/>
          <w:sz w:val="32"/>
          <w:szCs w:val="32"/>
          <w:u w:val="none"/>
        </w:rPr>
      </w:pPr>
    </w:p>
    <w:p>
      <w:pPr>
        <w:spacing w:line="480" w:lineRule="auto"/>
        <w:jc w:val="center"/>
        <w:rPr>
          <w:rStyle w:val="20"/>
          <w:rFonts w:ascii="仿宋_GB2312" w:hAnsi="仿宋_GB2312" w:eastAsia="仿宋_GB2312"/>
          <w:color w:val="auto"/>
          <w:sz w:val="32"/>
          <w:szCs w:val="32"/>
          <w:u w:val="none"/>
        </w:rPr>
      </w:pPr>
    </w:p>
    <w:p>
      <w:pPr>
        <w:spacing w:line="480" w:lineRule="auto"/>
        <w:jc w:val="center"/>
        <w:rPr>
          <w:rStyle w:val="20"/>
          <w:rFonts w:ascii="仿宋_GB2312" w:hAnsi="仿宋_GB2312" w:eastAsia="仿宋_GB2312"/>
          <w:color w:val="auto"/>
          <w:sz w:val="44"/>
          <w:szCs w:val="44"/>
          <w:u w:val="none"/>
        </w:rPr>
      </w:pPr>
    </w:p>
    <w:p>
      <w:pPr>
        <w:spacing w:line="480" w:lineRule="auto"/>
        <w:jc w:val="center"/>
        <w:rPr>
          <w:rStyle w:val="20"/>
          <w:rFonts w:ascii="仿宋_GB2312" w:hAnsi="仿宋_GB2312" w:eastAsia="仿宋_GB2312"/>
          <w:color w:val="auto"/>
          <w:sz w:val="44"/>
          <w:szCs w:val="44"/>
          <w:u w:val="none"/>
        </w:rPr>
      </w:pPr>
    </w:p>
    <w:p>
      <w:pPr>
        <w:spacing w:line="480" w:lineRule="auto"/>
        <w:jc w:val="center"/>
        <w:rPr>
          <w:rStyle w:val="20"/>
          <w:rFonts w:ascii="仿宋_GB2312" w:hAnsi="仿宋_GB2312" w:eastAsia="仿宋_GB2312"/>
          <w:color w:val="auto"/>
          <w:sz w:val="44"/>
          <w:szCs w:val="44"/>
          <w:u w:val="none"/>
        </w:rPr>
      </w:pPr>
    </w:p>
    <w:p>
      <w:pPr>
        <w:spacing w:line="480" w:lineRule="auto"/>
        <w:jc w:val="center"/>
        <w:rPr>
          <w:rStyle w:val="20"/>
          <w:rFonts w:ascii="仿宋_GB2312" w:hAnsi="仿宋_GB2312" w:eastAsia="仿宋_GB2312"/>
          <w:color w:val="auto"/>
          <w:sz w:val="44"/>
          <w:szCs w:val="44"/>
          <w:u w:val="none"/>
        </w:rPr>
      </w:pPr>
    </w:p>
    <w:p>
      <w:pPr>
        <w:spacing w:line="480" w:lineRule="auto"/>
        <w:jc w:val="center"/>
        <w:rPr>
          <w:rStyle w:val="20"/>
          <w:rFonts w:ascii="仿宋_GB2312" w:hAnsi="仿宋_GB2312" w:eastAsia="仿宋_GB2312"/>
          <w:color w:val="auto"/>
          <w:sz w:val="44"/>
          <w:szCs w:val="44"/>
          <w:u w:val="none"/>
        </w:rPr>
      </w:pPr>
    </w:p>
    <w:p>
      <w:pPr>
        <w:spacing w:line="480" w:lineRule="auto"/>
        <w:jc w:val="center"/>
        <w:rPr>
          <w:rStyle w:val="20"/>
          <w:rFonts w:ascii="仿宋_GB2312" w:hAnsi="仿宋_GB2312" w:eastAsia="仿宋_GB2312"/>
          <w:color w:val="auto"/>
          <w:sz w:val="44"/>
          <w:szCs w:val="44"/>
          <w:u w:val="none"/>
        </w:rPr>
      </w:pPr>
    </w:p>
    <w:p>
      <w:pPr>
        <w:spacing w:line="480" w:lineRule="auto"/>
        <w:jc w:val="center"/>
        <w:rPr>
          <w:rStyle w:val="20"/>
          <w:rFonts w:ascii="仿宋_GB2312" w:hAnsi="仿宋_GB2312" w:eastAsia="仿宋_GB2312"/>
          <w:color w:val="auto"/>
          <w:sz w:val="44"/>
          <w:szCs w:val="44"/>
          <w:u w:val="none"/>
        </w:rPr>
      </w:pPr>
    </w:p>
    <w:p>
      <w:pPr>
        <w:spacing w:line="480" w:lineRule="auto"/>
        <w:jc w:val="center"/>
        <w:rPr>
          <w:rStyle w:val="20"/>
          <w:rFonts w:ascii="仿宋_GB2312" w:hAnsi="仿宋_GB2312" w:eastAsia="仿宋_GB2312"/>
          <w:color w:val="auto"/>
          <w:sz w:val="44"/>
          <w:szCs w:val="44"/>
          <w:u w:val="none"/>
        </w:rPr>
      </w:pPr>
    </w:p>
    <w:p>
      <w:pPr>
        <w:spacing w:line="480" w:lineRule="auto"/>
        <w:jc w:val="center"/>
        <w:rPr>
          <w:rStyle w:val="20"/>
          <w:rFonts w:ascii="仿宋_GB2312" w:hAnsi="仿宋_GB2312" w:eastAsia="仿宋_GB2312"/>
          <w:color w:val="auto"/>
          <w:sz w:val="44"/>
          <w:szCs w:val="44"/>
          <w:u w:val="none"/>
        </w:rPr>
      </w:pPr>
    </w:p>
    <w:p>
      <w:pPr>
        <w:spacing w:line="480" w:lineRule="auto"/>
        <w:jc w:val="center"/>
        <w:rPr>
          <w:rStyle w:val="20"/>
          <w:rFonts w:ascii="仿宋_GB2312" w:hAnsi="仿宋_GB2312" w:eastAsia="仿宋_GB2312"/>
          <w:color w:val="auto"/>
          <w:sz w:val="44"/>
          <w:szCs w:val="44"/>
          <w:u w:val="none"/>
        </w:rPr>
      </w:pPr>
    </w:p>
    <w:p>
      <w:pPr>
        <w:spacing w:line="480" w:lineRule="auto"/>
        <w:jc w:val="center"/>
        <w:rPr>
          <w:rStyle w:val="20"/>
          <w:rFonts w:ascii="仿宋_GB2312" w:hAnsi="仿宋_GB2312" w:eastAsia="仿宋_GB2312"/>
          <w:color w:val="auto"/>
          <w:sz w:val="44"/>
          <w:szCs w:val="44"/>
          <w:u w:val="none"/>
        </w:rPr>
      </w:pPr>
    </w:p>
    <w:p>
      <w:pPr>
        <w:spacing w:line="480" w:lineRule="auto"/>
        <w:jc w:val="center"/>
        <w:rPr>
          <w:rStyle w:val="20"/>
          <w:rFonts w:hint="default" w:ascii="仿宋_GB2312" w:hAnsi="仿宋_GB2312" w:eastAsia="仿宋_GB2312"/>
          <w:color w:val="auto"/>
          <w:sz w:val="44"/>
          <w:szCs w:val="44"/>
          <w:u w:val="none"/>
          <w:lang w:val="en-US" w:eastAsia="zh-CN"/>
        </w:rPr>
      </w:pPr>
      <w:r>
        <w:rPr>
          <w:rStyle w:val="20"/>
          <w:rFonts w:hint="eastAsia" w:ascii="仿宋_GB2312" w:hAnsi="仿宋_GB2312" w:eastAsia="仿宋_GB2312"/>
          <w:color w:val="auto"/>
          <w:sz w:val="44"/>
          <w:szCs w:val="44"/>
          <w:u w:val="none"/>
        </w:rPr>
        <w:t>2021年</w:t>
      </w:r>
      <w:r>
        <w:rPr>
          <w:rStyle w:val="20"/>
          <w:rFonts w:hint="eastAsia" w:ascii="仿宋_GB2312" w:hAnsi="仿宋_GB2312" w:eastAsia="仿宋_GB2312"/>
          <w:color w:val="auto"/>
          <w:sz w:val="44"/>
          <w:szCs w:val="44"/>
          <w:u w:val="none"/>
          <w:lang w:val="en-US" w:eastAsia="zh-CN"/>
        </w:rPr>
        <w:t>6</w:t>
      </w:r>
      <w:bookmarkStart w:id="584" w:name="_GoBack"/>
      <w:bookmarkEnd w:id="584"/>
      <w:r>
        <w:rPr>
          <w:rStyle w:val="20"/>
          <w:rFonts w:hint="eastAsia" w:ascii="仿宋_GB2312" w:hAnsi="仿宋_GB2312" w:eastAsia="仿宋_GB2312"/>
          <w:color w:val="auto"/>
          <w:sz w:val="44"/>
          <w:szCs w:val="44"/>
          <w:u w:val="none"/>
        </w:rPr>
        <w:t>月</w:t>
      </w: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jc w:val="center"/>
        <w:rPr>
          <w:rStyle w:val="20"/>
          <w:rFonts w:ascii="黑体" w:hAnsi="黑体" w:eastAsia="黑体" w:cs="仿宋_GB2312"/>
          <w:bCs/>
          <w:color w:val="auto"/>
          <w:kern w:val="0"/>
          <w:sz w:val="40"/>
          <w:szCs w:val="40"/>
          <w:u w:val="none"/>
        </w:rPr>
      </w:pPr>
      <w:r>
        <w:rPr>
          <w:rFonts w:hint="eastAsia" w:ascii="黑体" w:hAnsi="黑体" w:eastAsia="黑体" w:cs="黑体"/>
          <w:b/>
          <w:color w:val="auto"/>
          <w:kern w:val="44"/>
          <w:sz w:val="40"/>
          <w:szCs w:val="40"/>
          <w:u w:val="none"/>
        </w:rPr>
        <w:t>目  录</w:t>
      </w: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pStyle w:val="6"/>
        <w:tabs>
          <w:tab w:val="right" w:leader="dot" w:pos="8306"/>
        </w:tabs>
        <w:rPr>
          <w:rFonts w:hint="eastAsia" w:ascii="黑体" w:hAnsi="黑体" w:eastAsia="黑体" w:cs="黑体"/>
          <w:color w:val="auto"/>
          <w:sz w:val="32"/>
          <w:szCs w:val="32"/>
          <w:u w:val="none"/>
        </w:rPr>
      </w:pPr>
      <w:r>
        <w:rPr>
          <w:rStyle w:val="20"/>
          <w:rFonts w:hint="eastAsia" w:ascii="黑体" w:hAnsi="黑体" w:eastAsia="黑体" w:cs="黑体"/>
          <w:color w:val="auto"/>
          <w:sz w:val="32"/>
          <w:szCs w:val="32"/>
          <w:u w:val="none"/>
        </w:rPr>
        <w:fldChar w:fldCharType="begin"/>
      </w:r>
      <w:r>
        <w:rPr>
          <w:rStyle w:val="20"/>
          <w:rFonts w:hint="eastAsia" w:ascii="黑体" w:hAnsi="黑体" w:eastAsia="黑体" w:cs="黑体"/>
          <w:bCs/>
          <w:color w:val="auto"/>
          <w:kern w:val="0"/>
          <w:sz w:val="32"/>
          <w:szCs w:val="32"/>
          <w:u w:val="none"/>
        </w:rPr>
        <w:instrText xml:space="preserve">TOC \o "1-3" \h \u </w:instrText>
      </w:r>
      <w:r>
        <w:rPr>
          <w:rStyle w:val="20"/>
          <w:rFonts w:hint="eastAsia" w:ascii="黑体" w:hAnsi="黑体" w:eastAsia="黑体" w:cs="黑体"/>
          <w:color w:val="auto"/>
          <w:sz w:val="32"/>
          <w:szCs w:val="32"/>
          <w:u w:val="none"/>
        </w:rPr>
        <w:fldChar w:fldCharType="separate"/>
      </w:r>
      <w:r>
        <w:rPr>
          <w:rFonts w:hint="eastAsia" w:ascii="黑体" w:hAnsi="黑体" w:eastAsia="黑体" w:cs="黑体"/>
          <w:color w:val="auto"/>
          <w:sz w:val="32"/>
          <w:szCs w:val="32"/>
          <w:u w:val="none"/>
        </w:rPr>
        <w:fldChar w:fldCharType="begin"/>
      </w:r>
      <w:r>
        <w:rPr>
          <w:rFonts w:hint="eastAsia" w:ascii="黑体" w:hAnsi="黑体" w:eastAsia="黑体" w:cs="黑体"/>
          <w:color w:val="auto"/>
          <w:sz w:val="32"/>
          <w:szCs w:val="32"/>
          <w:u w:val="none"/>
        </w:rPr>
        <w:instrText xml:space="preserve"> HYPERLINK \l _Toc16170 </w:instrText>
      </w:r>
      <w:r>
        <w:rPr>
          <w:rFonts w:hint="eastAsia" w:ascii="黑体" w:hAnsi="黑体" w:eastAsia="黑体" w:cs="黑体"/>
          <w:color w:val="auto"/>
          <w:sz w:val="32"/>
          <w:szCs w:val="32"/>
          <w:u w:val="none"/>
        </w:rPr>
        <w:fldChar w:fldCharType="separate"/>
      </w:r>
      <w:r>
        <w:rPr>
          <w:rFonts w:hint="eastAsia" w:ascii="黑体" w:hAnsi="黑体" w:eastAsia="黑体" w:cs="黑体"/>
          <w:color w:val="auto"/>
          <w:sz w:val="32"/>
          <w:szCs w:val="32"/>
          <w:u w:val="none"/>
        </w:rPr>
        <w:t>一、发展基础与形势要求</w:t>
      </w:r>
      <w:r>
        <w:rPr>
          <w:rFonts w:hint="eastAsia" w:ascii="黑体" w:hAnsi="黑体" w:eastAsia="黑体" w:cs="黑体"/>
          <w:color w:val="auto"/>
          <w:sz w:val="32"/>
          <w:szCs w:val="32"/>
          <w:u w:val="none"/>
        </w:rPr>
        <w:tab/>
      </w:r>
      <w:r>
        <w:rPr>
          <w:rFonts w:hint="eastAsia" w:ascii="黑体" w:hAnsi="黑体" w:eastAsia="黑体" w:cs="黑体"/>
          <w:color w:val="auto"/>
          <w:sz w:val="32"/>
          <w:szCs w:val="32"/>
          <w:u w:val="none"/>
        </w:rPr>
        <w:fldChar w:fldCharType="begin"/>
      </w:r>
      <w:r>
        <w:rPr>
          <w:rFonts w:hint="eastAsia" w:ascii="黑体" w:hAnsi="黑体" w:eastAsia="黑体" w:cs="黑体"/>
          <w:color w:val="auto"/>
          <w:sz w:val="32"/>
          <w:szCs w:val="32"/>
          <w:u w:val="none"/>
        </w:rPr>
        <w:instrText xml:space="preserve"> PAGEREF _Toc16170 \h </w:instrText>
      </w:r>
      <w:r>
        <w:rPr>
          <w:rFonts w:hint="eastAsia" w:ascii="黑体" w:hAnsi="黑体" w:eastAsia="黑体" w:cs="黑体"/>
          <w:color w:val="auto"/>
          <w:sz w:val="32"/>
          <w:szCs w:val="32"/>
          <w:u w:val="none"/>
        </w:rPr>
        <w:fldChar w:fldCharType="separate"/>
      </w:r>
      <w:r>
        <w:rPr>
          <w:rFonts w:hint="eastAsia" w:ascii="黑体" w:hAnsi="黑体" w:eastAsia="黑体" w:cs="黑体"/>
          <w:color w:val="auto"/>
          <w:sz w:val="32"/>
          <w:szCs w:val="32"/>
          <w:u w:val="none"/>
        </w:rPr>
        <w:t>1</w:t>
      </w:r>
      <w:r>
        <w:rPr>
          <w:rFonts w:hint="eastAsia" w:ascii="黑体" w:hAnsi="黑体" w:eastAsia="黑体" w:cs="黑体"/>
          <w:color w:val="auto"/>
          <w:sz w:val="32"/>
          <w:szCs w:val="32"/>
          <w:u w:val="none"/>
        </w:rPr>
        <w:fldChar w:fldCharType="end"/>
      </w:r>
      <w:r>
        <w:rPr>
          <w:rFonts w:hint="eastAsia" w:ascii="黑体" w:hAnsi="黑体" w:eastAsia="黑体" w:cs="黑体"/>
          <w:color w:val="auto"/>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_Toc26219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（一）“十三五”建设取得的主要成绩</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_Toc26219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1</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_Toc14813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（二）存在的主要问题和不足</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_Toc14813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7</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_Toc9945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（三）面临的形势和要求</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_Toc9945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8</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6"/>
        <w:tabs>
          <w:tab w:val="right" w:leader="dot" w:pos="8306"/>
        </w:tabs>
        <w:rPr>
          <w:rFonts w:hint="eastAsia" w:ascii="黑体" w:hAnsi="黑体" w:eastAsia="黑体" w:cs="黑体"/>
          <w:color w:val="auto"/>
          <w:sz w:val="32"/>
          <w:szCs w:val="32"/>
          <w:u w:val="none"/>
        </w:rPr>
      </w:pPr>
      <w:r>
        <w:rPr>
          <w:rFonts w:hint="eastAsia" w:ascii="黑体" w:hAnsi="黑体" w:eastAsia="黑体" w:cs="黑体"/>
          <w:bCs/>
          <w:color w:val="auto"/>
          <w:kern w:val="0"/>
          <w:sz w:val="32"/>
          <w:szCs w:val="32"/>
          <w:u w:val="none"/>
        </w:rPr>
        <w:fldChar w:fldCharType="begin"/>
      </w:r>
      <w:r>
        <w:rPr>
          <w:rFonts w:hint="eastAsia" w:ascii="黑体" w:hAnsi="黑体" w:eastAsia="黑体" w:cs="黑体"/>
          <w:bCs/>
          <w:color w:val="auto"/>
          <w:kern w:val="0"/>
          <w:sz w:val="32"/>
          <w:szCs w:val="32"/>
          <w:u w:val="none"/>
        </w:rPr>
        <w:instrText xml:space="preserve"> HYPERLINK \l _Toc8474 </w:instrText>
      </w:r>
      <w:r>
        <w:rPr>
          <w:rFonts w:hint="eastAsia" w:ascii="黑体" w:hAnsi="黑体" w:eastAsia="黑体" w:cs="黑体"/>
          <w:bCs/>
          <w:color w:val="auto"/>
          <w:kern w:val="0"/>
          <w:sz w:val="32"/>
          <w:szCs w:val="32"/>
          <w:u w:val="none"/>
        </w:rPr>
        <w:fldChar w:fldCharType="separate"/>
      </w:r>
      <w:r>
        <w:rPr>
          <w:rFonts w:hint="eastAsia" w:ascii="黑体" w:hAnsi="黑体" w:eastAsia="黑体" w:cs="黑体"/>
          <w:color w:val="auto"/>
          <w:sz w:val="32"/>
          <w:szCs w:val="32"/>
          <w:u w:val="none"/>
        </w:rPr>
        <w:t>二、指导思想和主要目标</w:t>
      </w:r>
      <w:r>
        <w:rPr>
          <w:rFonts w:hint="eastAsia" w:ascii="黑体" w:hAnsi="黑体" w:eastAsia="黑体" w:cs="黑体"/>
          <w:color w:val="auto"/>
          <w:sz w:val="32"/>
          <w:szCs w:val="32"/>
          <w:u w:val="none"/>
        </w:rPr>
        <w:tab/>
      </w:r>
      <w:r>
        <w:rPr>
          <w:rFonts w:hint="eastAsia" w:ascii="黑体" w:hAnsi="黑体" w:eastAsia="黑体" w:cs="黑体"/>
          <w:color w:val="auto"/>
          <w:sz w:val="32"/>
          <w:szCs w:val="32"/>
          <w:u w:val="none"/>
        </w:rPr>
        <w:fldChar w:fldCharType="begin"/>
      </w:r>
      <w:r>
        <w:rPr>
          <w:rFonts w:hint="eastAsia" w:ascii="黑体" w:hAnsi="黑体" w:eastAsia="黑体" w:cs="黑体"/>
          <w:color w:val="auto"/>
          <w:sz w:val="32"/>
          <w:szCs w:val="32"/>
          <w:u w:val="none"/>
        </w:rPr>
        <w:instrText xml:space="preserve"> PAGEREF _Toc8474 \h </w:instrText>
      </w:r>
      <w:r>
        <w:rPr>
          <w:rFonts w:hint="eastAsia" w:ascii="黑体" w:hAnsi="黑体" w:eastAsia="黑体" w:cs="黑体"/>
          <w:color w:val="auto"/>
          <w:sz w:val="32"/>
          <w:szCs w:val="32"/>
          <w:u w:val="none"/>
        </w:rPr>
        <w:fldChar w:fldCharType="separate"/>
      </w:r>
      <w:r>
        <w:rPr>
          <w:rFonts w:hint="eastAsia" w:ascii="黑体" w:hAnsi="黑体" w:eastAsia="黑体" w:cs="黑体"/>
          <w:color w:val="auto"/>
          <w:sz w:val="32"/>
          <w:szCs w:val="32"/>
          <w:u w:val="none"/>
        </w:rPr>
        <w:t>11</w:t>
      </w:r>
      <w:r>
        <w:rPr>
          <w:rFonts w:hint="eastAsia" w:ascii="黑体" w:hAnsi="黑体" w:eastAsia="黑体" w:cs="黑体"/>
          <w:color w:val="auto"/>
          <w:sz w:val="32"/>
          <w:szCs w:val="32"/>
          <w:u w:val="none"/>
        </w:rPr>
        <w:fldChar w:fldCharType="end"/>
      </w:r>
      <w:r>
        <w:rPr>
          <w:rFonts w:hint="eastAsia" w:ascii="黑体" w:hAnsi="黑体" w:eastAsia="黑体" w:cs="黑体"/>
          <w:bCs/>
          <w:color w:val="auto"/>
          <w:kern w:val="0"/>
          <w:sz w:val="32"/>
          <w:szCs w:val="32"/>
          <w:u w:val="none"/>
        </w:rPr>
        <w:fldChar w:fldCharType="end"/>
      </w:r>
    </w:p>
    <w:p>
      <w:pPr>
        <w:pStyle w:val="7"/>
        <w:tabs>
          <w:tab w:val="right" w:leader="dot" w:pos="8306"/>
        </w:tabs>
        <w:rPr>
          <w:rFonts w:hint="eastAsia" w:ascii="楷体" w:hAnsi="楷体" w:eastAsia="楷体" w:cs="楷体"/>
          <w:color w:val="auto"/>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_Toc18731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color w:val="auto"/>
          <w:sz w:val="32"/>
          <w:szCs w:val="32"/>
          <w:u w:val="none"/>
        </w:rPr>
        <w:t>（一）指导思想</w:t>
      </w:r>
      <w:r>
        <w:rPr>
          <w:rFonts w:hint="eastAsia" w:ascii="楷体" w:hAnsi="楷体" w:eastAsia="楷体" w:cs="楷体"/>
          <w:color w:val="auto"/>
          <w:sz w:val="32"/>
          <w:szCs w:val="32"/>
          <w:u w:val="none"/>
        </w:rPr>
        <w:tab/>
      </w:r>
      <w:r>
        <w:rPr>
          <w:rFonts w:hint="eastAsia" w:ascii="楷体" w:hAnsi="楷体" w:eastAsia="楷体" w:cs="楷体"/>
          <w:color w:val="auto"/>
          <w:sz w:val="32"/>
          <w:szCs w:val="32"/>
          <w:u w:val="none"/>
        </w:rPr>
        <w:fldChar w:fldCharType="begin"/>
      </w:r>
      <w:r>
        <w:rPr>
          <w:rFonts w:hint="eastAsia" w:ascii="楷体" w:hAnsi="楷体" w:eastAsia="楷体" w:cs="楷体"/>
          <w:color w:val="auto"/>
          <w:sz w:val="32"/>
          <w:szCs w:val="32"/>
          <w:u w:val="none"/>
        </w:rPr>
        <w:instrText xml:space="preserve"> PAGEREF _Toc18731 \h </w:instrText>
      </w:r>
      <w:r>
        <w:rPr>
          <w:rFonts w:hint="eastAsia" w:ascii="楷体" w:hAnsi="楷体" w:eastAsia="楷体" w:cs="楷体"/>
          <w:color w:val="auto"/>
          <w:sz w:val="32"/>
          <w:szCs w:val="32"/>
          <w:u w:val="none"/>
        </w:rPr>
        <w:fldChar w:fldCharType="separate"/>
      </w:r>
      <w:r>
        <w:rPr>
          <w:rFonts w:hint="eastAsia" w:ascii="楷体" w:hAnsi="楷体" w:eastAsia="楷体" w:cs="楷体"/>
          <w:color w:val="auto"/>
          <w:sz w:val="32"/>
          <w:szCs w:val="32"/>
          <w:u w:val="none"/>
        </w:rPr>
        <w:t>11</w:t>
      </w:r>
      <w:r>
        <w:rPr>
          <w:rFonts w:hint="eastAsia" w:ascii="楷体" w:hAnsi="楷体" w:eastAsia="楷体" w:cs="楷体"/>
          <w:color w:val="auto"/>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黑体" w:hAnsi="黑体" w:eastAsia="黑体" w:cs="黑体"/>
          <w:color w:val="auto"/>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_Toc15657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color w:val="auto"/>
          <w:sz w:val="32"/>
          <w:szCs w:val="32"/>
          <w:u w:val="none"/>
        </w:rPr>
        <w:t>（二）主要目标</w:t>
      </w:r>
      <w:r>
        <w:rPr>
          <w:rFonts w:hint="eastAsia" w:ascii="楷体" w:hAnsi="楷体" w:eastAsia="楷体" w:cs="楷体"/>
          <w:color w:val="auto"/>
          <w:sz w:val="32"/>
          <w:szCs w:val="32"/>
          <w:u w:val="none"/>
        </w:rPr>
        <w:tab/>
      </w:r>
      <w:r>
        <w:rPr>
          <w:rFonts w:hint="eastAsia" w:ascii="楷体" w:hAnsi="楷体" w:eastAsia="楷体" w:cs="楷体"/>
          <w:color w:val="auto"/>
          <w:sz w:val="32"/>
          <w:szCs w:val="32"/>
          <w:u w:val="none"/>
        </w:rPr>
        <w:fldChar w:fldCharType="begin"/>
      </w:r>
      <w:r>
        <w:rPr>
          <w:rFonts w:hint="eastAsia" w:ascii="楷体" w:hAnsi="楷体" w:eastAsia="楷体" w:cs="楷体"/>
          <w:color w:val="auto"/>
          <w:sz w:val="32"/>
          <w:szCs w:val="32"/>
          <w:u w:val="none"/>
        </w:rPr>
        <w:instrText xml:space="preserve"> PAGEREF _Toc15657 \h </w:instrText>
      </w:r>
      <w:r>
        <w:rPr>
          <w:rFonts w:hint="eastAsia" w:ascii="楷体" w:hAnsi="楷体" w:eastAsia="楷体" w:cs="楷体"/>
          <w:color w:val="auto"/>
          <w:sz w:val="32"/>
          <w:szCs w:val="32"/>
          <w:u w:val="none"/>
        </w:rPr>
        <w:fldChar w:fldCharType="separate"/>
      </w:r>
      <w:r>
        <w:rPr>
          <w:rFonts w:hint="eastAsia" w:ascii="楷体" w:hAnsi="楷体" w:eastAsia="楷体" w:cs="楷体"/>
          <w:color w:val="auto"/>
          <w:sz w:val="32"/>
          <w:szCs w:val="32"/>
          <w:u w:val="none"/>
        </w:rPr>
        <w:t>12</w:t>
      </w:r>
      <w:r>
        <w:rPr>
          <w:rFonts w:hint="eastAsia" w:ascii="楷体" w:hAnsi="楷体" w:eastAsia="楷体" w:cs="楷体"/>
          <w:color w:val="auto"/>
          <w:sz w:val="32"/>
          <w:szCs w:val="32"/>
          <w:u w:val="none"/>
        </w:rPr>
        <w:fldChar w:fldCharType="end"/>
      </w:r>
      <w:r>
        <w:rPr>
          <w:rFonts w:hint="eastAsia" w:ascii="楷体" w:hAnsi="楷体" w:eastAsia="楷体" w:cs="楷体"/>
          <w:bCs/>
          <w:color w:val="auto"/>
          <w:kern w:val="0"/>
          <w:sz w:val="32"/>
          <w:szCs w:val="32"/>
          <w:u w:val="none"/>
        </w:rPr>
        <w:fldChar w:fldCharType="end"/>
      </w:r>
    </w:p>
    <w:p>
      <w:pPr>
        <w:pStyle w:val="6"/>
        <w:tabs>
          <w:tab w:val="right" w:leader="dot" w:pos="8306"/>
        </w:tabs>
        <w:rPr>
          <w:rFonts w:hint="eastAsia" w:ascii="黑体" w:hAnsi="黑体" w:eastAsia="黑体" w:cs="黑体"/>
          <w:color w:val="auto"/>
          <w:sz w:val="32"/>
          <w:szCs w:val="32"/>
          <w:u w:val="none"/>
        </w:rPr>
      </w:pPr>
      <w:r>
        <w:rPr>
          <w:rFonts w:hint="eastAsia" w:ascii="黑体" w:hAnsi="黑体" w:eastAsia="黑体" w:cs="黑体"/>
          <w:bCs/>
          <w:color w:val="auto"/>
          <w:kern w:val="0"/>
          <w:sz w:val="32"/>
          <w:szCs w:val="32"/>
          <w:u w:val="none"/>
        </w:rPr>
        <w:fldChar w:fldCharType="begin"/>
      </w:r>
      <w:r>
        <w:rPr>
          <w:rFonts w:hint="eastAsia" w:ascii="黑体" w:hAnsi="黑体" w:eastAsia="黑体" w:cs="黑体"/>
          <w:bCs/>
          <w:color w:val="auto"/>
          <w:kern w:val="0"/>
          <w:sz w:val="32"/>
          <w:szCs w:val="32"/>
          <w:u w:val="none"/>
        </w:rPr>
        <w:instrText xml:space="preserve"> HYPERLINK \l _Toc19079 </w:instrText>
      </w:r>
      <w:r>
        <w:rPr>
          <w:rFonts w:hint="eastAsia" w:ascii="黑体" w:hAnsi="黑体" w:eastAsia="黑体" w:cs="黑体"/>
          <w:bCs/>
          <w:color w:val="auto"/>
          <w:kern w:val="0"/>
          <w:sz w:val="32"/>
          <w:szCs w:val="32"/>
          <w:u w:val="none"/>
        </w:rPr>
        <w:fldChar w:fldCharType="separate"/>
      </w:r>
      <w:r>
        <w:rPr>
          <w:rFonts w:hint="eastAsia" w:ascii="黑体" w:hAnsi="黑体" w:eastAsia="黑体" w:cs="黑体"/>
          <w:color w:val="auto"/>
          <w:sz w:val="32"/>
          <w:szCs w:val="32"/>
          <w:u w:val="none"/>
        </w:rPr>
        <w:t>三、重点建设工程</w:t>
      </w:r>
      <w:r>
        <w:rPr>
          <w:rFonts w:hint="eastAsia" w:ascii="黑体" w:hAnsi="黑体" w:eastAsia="黑体" w:cs="黑体"/>
          <w:color w:val="auto"/>
          <w:sz w:val="32"/>
          <w:szCs w:val="32"/>
          <w:u w:val="none"/>
        </w:rPr>
        <w:tab/>
      </w:r>
      <w:r>
        <w:rPr>
          <w:rFonts w:hint="eastAsia" w:ascii="黑体" w:hAnsi="黑体" w:eastAsia="黑体" w:cs="黑体"/>
          <w:color w:val="auto"/>
          <w:sz w:val="32"/>
          <w:szCs w:val="32"/>
          <w:u w:val="none"/>
        </w:rPr>
        <w:fldChar w:fldCharType="begin"/>
      </w:r>
      <w:r>
        <w:rPr>
          <w:rFonts w:hint="eastAsia" w:ascii="黑体" w:hAnsi="黑体" w:eastAsia="黑体" w:cs="黑体"/>
          <w:color w:val="auto"/>
          <w:sz w:val="32"/>
          <w:szCs w:val="32"/>
          <w:u w:val="none"/>
        </w:rPr>
        <w:instrText xml:space="preserve"> PAGEREF _Toc19079 \h </w:instrText>
      </w:r>
      <w:r>
        <w:rPr>
          <w:rFonts w:hint="eastAsia" w:ascii="黑体" w:hAnsi="黑体" w:eastAsia="黑体" w:cs="黑体"/>
          <w:color w:val="auto"/>
          <w:sz w:val="32"/>
          <w:szCs w:val="32"/>
          <w:u w:val="none"/>
        </w:rPr>
        <w:fldChar w:fldCharType="separate"/>
      </w:r>
      <w:r>
        <w:rPr>
          <w:rFonts w:hint="eastAsia" w:ascii="黑体" w:hAnsi="黑体" w:eastAsia="黑体" w:cs="黑体"/>
          <w:color w:val="auto"/>
          <w:sz w:val="32"/>
          <w:szCs w:val="32"/>
          <w:u w:val="none"/>
        </w:rPr>
        <w:t>15</w:t>
      </w:r>
      <w:r>
        <w:rPr>
          <w:rFonts w:hint="eastAsia" w:ascii="黑体" w:hAnsi="黑体" w:eastAsia="黑体" w:cs="黑体"/>
          <w:color w:val="auto"/>
          <w:sz w:val="32"/>
          <w:szCs w:val="32"/>
          <w:u w:val="none"/>
        </w:rPr>
        <w:fldChar w:fldCharType="end"/>
      </w:r>
      <w:r>
        <w:rPr>
          <w:rFonts w:hint="eastAsia" w:ascii="黑体" w:hAnsi="黑体" w:eastAsia="黑体" w:cs="黑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_Toc7318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w:t>
      </w:r>
      <w:r>
        <w:rPr>
          <w:rFonts w:hint="eastAsia" w:ascii="楷体" w:hAnsi="楷体" w:eastAsia="楷体" w:cs="楷体"/>
          <w:bCs/>
          <w:color w:val="auto"/>
          <w:kern w:val="0"/>
          <w:sz w:val="32"/>
          <w:szCs w:val="32"/>
          <w:u w:val="none"/>
          <w:lang w:eastAsia="zh-CN"/>
        </w:rPr>
        <w:t>一</w:t>
      </w:r>
      <w:r>
        <w:rPr>
          <w:rFonts w:hint="eastAsia" w:ascii="楷体" w:hAnsi="楷体" w:eastAsia="楷体" w:cs="楷体"/>
          <w:bCs/>
          <w:color w:val="auto"/>
          <w:kern w:val="0"/>
          <w:sz w:val="32"/>
          <w:szCs w:val="32"/>
          <w:u w:val="none"/>
        </w:rPr>
        <w:t>）立德树人提升工程</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_Toc7318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15</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_Toc21855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w:t>
      </w:r>
      <w:r>
        <w:rPr>
          <w:rFonts w:hint="eastAsia" w:ascii="楷体" w:hAnsi="楷体" w:eastAsia="楷体" w:cs="楷体"/>
          <w:bCs/>
          <w:color w:val="auto"/>
          <w:kern w:val="0"/>
          <w:sz w:val="32"/>
          <w:szCs w:val="32"/>
          <w:u w:val="none"/>
          <w:lang w:eastAsia="zh-CN"/>
        </w:rPr>
        <w:t>二</w:t>
      </w:r>
      <w:r>
        <w:rPr>
          <w:rFonts w:hint="eastAsia" w:ascii="楷体" w:hAnsi="楷体" w:eastAsia="楷体" w:cs="楷体"/>
          <w:bCs/>
          <w:color w:val="auto"/>
          <w:kern w:val="0"/>
          <w:sz w:val="32"/>
          <w:szCs w:val="32"/>
          <w:u w:val="none"/>
        </w:rPr>
        <w:t>）学科建设提升工程</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_Toc21855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16</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_Toc1490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w:t>
      </w:r>
      <w:r>
        <w:rPr>
          <w:rFonts w:hint="eastAsia" w:ascii="楷体" w:hAnsi="楷体" w:eastAsia="楷体" w:cs="楷体"/>
          <w:bCs/>
          <w:color w:val="auto"/>
          <w:kern w:val="0"/>
          <w:sz w:val="32"/>
          <w:szCs w:val="32"/>
          <w:u w:val="none"/>
          <w:lang w:eastAsia="zh-CN"/>
        </w:rPr>
        <w:t>三</w:t>
      </w:r>
      <w:r>
        <w:rPr>
          <w:rFonts w:hint="eastAsia" w:ascii="楷体" w:hAnsi="楷体" w:eastAsia="楷体" w:cs="楷体"/>
          <w:bCs/>
          <w:color w:val="auto"/>
          <w:kern w:val="0"/>
          <w:sz w:val="32"/>
          <w:szCs w:val="32"/>
          <w:u w:val="none"/>
        </w:rPr>
        <w:t>）教育创新工程</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_Toc1490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18</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_Toc27906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（四）</w:t>
      </w:r>
      <w:r>
        <w:rPr>
          <w:rFonts w:hint="eastAsia" w:ascii="楷体" w:hAnsi="楷体" w:eastAsia="楷体" w:cs="楷体"/>
          <w:bCs/>
          <w:color w:val="auto"/>
          <w:kern w:val="0"/>
          <w:sz w:val="32"/>
          <w:szCs w:val="32"/>
          <w:u w:val="none"/>
          <w:lang w:eastAsia="zh-CN"/>
        </w:rPr>
        <w:t>科研</w:t>
      </w:r>
      <w:r>
        <w:rPr>
          <w:rFonts w:hint="eastAsia" w:ascii="楷体" w:hAnsi="楷体" w:eastAsia="楷体" w:cs="楷体"/>
          <w:bCs/>
          <w:color w:val="auto"/>
          <w:kern w:val="0"/>
          <w:sz w:val="32"/>
          <w:szCs w:val="32"/>
          <w:u w:val="none"/>
        </w:rPr>
        <w:t>创新能力提升工程</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_Toc27906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20</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_Toc29451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（五）人才强校工程</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_Toc29451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23</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_Toc32403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（六）国际教育提质增效工程</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_Toc32403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25</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_Toc20928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（七）文化传承创新工程</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_Toc20928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26</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_Toc19165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（八）党建强基固本工程</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_Toc19165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27</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6"/>
        <w:tabs>
          <w:tab w:val="right" w:leader="dot" w:pos="8306"/>
        </w:tabs>
        <w:rPr>
          <w:rFonts w:hint="eastAsia" w:ascii="黑体" w:hAnsi="黑体" w:eastAsia="黑体" w:cs="黑体"/>
          <w:color w:val="auto"/>
          <w:sz w:val="32"/>
          <w:szCs w:val="32"/>
          <w:u w:val="none"/>
        </w:rPr>
      </w:pPr>
      <w:r>
        <w:rPr>
          <w:rFonts w:hint="eastAsia" w:ascii="黑体" w:hAnsi="黑体" w:eastAsia="黑体" w:cs="黑体"/>
          <w:bCs/>
          <w:color w:val="auto"/>
          <w:kern w:val="0"/>
          <w:sz w:val="32"/>
          <w:szCs w:val="32"/>
          <w:u w:val="none"/>
        </w:rPr>
        <w:fldChar w:fldCharType="begin"/>
      </w:r>
      <w:r>
        <w:rPr>
          <w:rFonts w:hint="eastAsia" w:ascii="黑体" w:hAnsi="黑体" w:eastAsia="黑体" w:cs="黑体"/>
          <w:bCs/>
          <w:color w:val="auto"/>
          <w:kern w:val="0"/>
          <w:sz w:val="32"/>
          <w:szCs w:val="32"/>
          <w:u w:val="none"/>
        </w:rPr>
        <w:instrText xml:space="preserve"> HYPERLINK \l _Toc19404 </w:instrText>
      </w:r>
      <w:r>
        <w:rPr>
          <w:rFonts w:hint="eastAsia" w:ascii="黑体" w:hAnsi="黑体" w:eastAsia="黑体" w:cs="黑体"/>
          <w:bCs/>
          <w:color w:val="auto"/>
          <w:kern w:val="0"/>
          <w:sz w:val="32"/>
          <w:szCs w:val="32"/>
          <w:u w:val="none"/>
        </w:rPr>
        <w:fldChar w:fldCharType="separate"/>
      </w:r>
      <w:r>
        <w:rPr>
          <w:rFonts w:hint="eastAsia" w:ascii="黑体" w:hAnsi="黑体" w:eastAsia="黑体" w:cs="黑体"/>
          <w:color w:val="auto"/>
          <w:sz w:val="32"/>
          <w:szCs w:val="32"/>
          <w:u w:val="none"/>
        </w:rPr>
        <w:t>四、重大行动计划</w:t>
      </w:r>
      <w:r>
        <w:rPr>
          <w:rFonts w:hint="eastAsia" w:ascii="黑体" w:hAnsi="黑体" w:eastAsia="黑体" w:cs="黑体"/>
          <w:color w:val="auto"/>
          <w:sz w:val="32"/>
          <w:szCs w:val="32"/>
          <w:u w:val="none"/>
        </w:rPr>
        <w:tab/>
      </w:r>
      <w:r>
        <w:rPr>
          <w:rFonts w:hint="eastAsia" w:ascii="黑体" w:hAnsi="黑体" w:eastAsia="黑体" w:cs="黑体"/>
          <w:color w:val="auto"/>
          <w:sz w:val="32"/>
          <w:szCs w:val="32"/>
          <w:u w:val="none"/>
        </w:rPr>
        <w:fldChar w:fldCharType="begin"/>
      </w:r>
      <w:r>
        <w:rPr>
          <w:rFonts w:hint="eastAsia" w:ascii="黑体" w:hAnsi="黑体" w:eastAsia="黑体" w:cs="黑体"/>
          <w:color w:val="auto"/>
          <w:sz w:val="32"/>
          <w:szCs w:val="32"/>
          <w:u w:val="none"/>
        </w:rPr>
        <w:instrText xml:space="preserve"> PAGEREF _Toc19404 \h </w:instrText>
      </w:r>
      <w:r>
        <w:rPr>
          <w:rFonts w:hint="eastAsia" w:ascii="黑体" w:hAnsi="黑体" w:eastAsia="黑体" w:cs="黑体"/>
          <w:color w:val="auto"/>
          <w:sz w:val="32"/>
          <w:szCs w:val="32"/>
          <w:u w:val="none"/>
        </w:rPr>
        <w:fldChar w:fldCharType="separate"/>
      </w:r>
      <w:r>
        <w:rPr>
          <w:rFonts w:hint="eastAsia" w:ascii="黑体" w:hAnsi="黑体" w:eastAsia="黑体" w:cs="黑体"/>
          <w:color w:val="auto"/>
          <w:sz w:val="32"/>
          <w:szCs w:val="32"/>
          <w:u w:val="none"/>
        </w:rPr>
        <w:t>30</w:t>
      </w:r>
      <w:r>
        <w:rPr>
          <w:rFonts w:hint="eastAsia" w:ascii="黑体" w:hAnsi="黑体" w:eastAsia="黑体" w:cs="黑体"/>
          <w:color w:val="auto"/>
          <w:sz w:val="32"/>
          <w:szCs w:val="32"/>
          <w:u w:val="none"/>
        </w:rPr>
        <w:fldChar w:fldCharType="end"/>
      </w:r>
      <w:r>
        <w:rPr>
          <w:rFonts w:hint="eastAsia" w:ascii="黑体" w:hAnsi="黑体" w:eastAsia="黑体" w:cs="黑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_Toc30619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w:t>
      </w:r>
      <w:r>
        <w:rPr>
          <w:rFonts w:hint="eastAsia" w:ascii="楷体" w:hAnsi="楷体" w:eastAsia="楷体" w:cs="楷体"/>
          <w:bCs/>
          <w:color w:val="auto"/>
          <w:kern w:val="0"/>
          <w:sz w:val="32"/>
          <w:szCs w:val="32"/>
          <w:u w:val="none"/>
          <w:lang w:eastAsia="zh-CN"/>
        </w:rPr>
        <w:t>一</w:t>
      </w:r>
      <w:r>
        <w:rPr>
          <w:rFonts w:hint="eastAsia" w:ascii="楷体" w:hAnsi="楷体" w:eastAsia="楷体" w:cs="楷体"/>
          <w:bCs/>
          <w:color w:val="auto"/>
          <w:kern w:val="0"/>
          <w:sz w:val="32"/>
          <w:szCs w:val="32"/>
          <w:u w:val="none"/>
        </w:rPr>
        <w:t>）服务出版强国建设行动计划</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_Toc30619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30</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_Toc24746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w:t>
      </w:r>
      <w:r>
        <w:rPr>
          <w:rFonts w:hint="eastAsia" w:ascii="楷体" w:hAnsi="楷体" w:eastAsia="楷体" w:cs="楷体"/>
          <w:bCs/>
          <w:color w:val="auto"/>
          <w:kern w:val="0"/>
          <w:sz w:val="32"/>
          <w:szCs w:val="32"/>
          <w:u w:val="none"/>
          <w:lang w:eastAsia="zh-CN"/>
        </w:rPr>
        <w:t>二</w:t>
      </w:r>
      <w:r>
        <w:rPr>
          <w:rFonts w:hint="eastAsia" w:ascii="楷体" w:hAnsi="楷体" w:eastAsia="楷体" w:cs="楷体"/>
          <w:bCs/>
          <w:color w:val="auto"/>
          <w:kern w:val="0"/>
          <w:sz w:val="32"/>
          <w:szCs w:val="32"/>
          <w:u w:val="none"/>
        </w:rPr>
        <w:t>）服务印刷强国建设行动计划</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_Toc24746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31</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_Toc18457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w:t>
      </w:r>
      <w:r>
        <w:rPr>
          <w:rFonts w:hint="eastAsia" w:ascii="楷体" w:hAnsi="楷体" w:eastAsia="楷体" w:cs="楷体"/>
          <w:bCs/>
          <w:color w:val="auto"/>
          <w:kern w:val="0"/>
          <w:sz w:val="32"/>
          <w:szCs w:val="32"/>
          <w:u w:val="none"/>
          <w:lang w:eastAsia="zh-CN"/>
        </w:rPr>
        <w:t>三</w:t>
      </w:r>
      <w:r>
        <w:rPr>
          <w:rFonts w:hint="eastAsia" w:ascii="楷体" w:hAnsi="楷体" w:eastAsia="楷体" w:cs="楷体"/>
          <w:bCs/>
          <w:color w:val="auto"/>
          <w:kern w:val="0"/>
          <w:sz w:val="32"/>
          <w:szCs w:val="32"/>
          <w:u w:val="none"/>
        </w:rPr>
        <w:t>）服务文化强国建设行动计划</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_Toc18457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33</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bCs/>
          <w:color w:val="auto"/>
          <w:kern w:val="0"/>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_Toc22725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（四）服务北京文化中心（设计之都）建设行动计划</w:t>
      </w:r>
      <w:r>
        <w:rPr>
          <w:rFonts w:hint="eastAsia" w:ascii="楷体" w:hAnsi="楷体" w:eastAsia="楷体" w:cs="楷体"/>
          <w:bCs/>
          <w:color w:val="auto"/>
          <w:kern w:val="0"/>
          <w:sz w:val="32"/>
          <w:szCs w:val="32"/>
          <w:u w:val="none"/>
        </w:rPr>
        <w:tab/>
      </w: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PAGEREF _Toc22725 \h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bCs/>
          <w:color w:val="auto"/>
          <w:kern w:val="0"/>
          <w:sz w:val="32"/>
          <w:szCs w:val="32"/>
          <w:u w:val="none"/>
        </w:rPr>
        <w:t>34</w:t>
      </w:r>
      <w:r>
        <w:rPr>
          <w:rFonts w:hint="eastAsia" w:ascii="楷体" w:hAnsi="楷体" w:eastAsia="楷体" w:cs="楷体"/>
          <w:bCs/>
          <w:color w:val="auto"/>
          <w:kern w:val="0"/>
          <w:sz w:val="32"/>
          <w:szCs w:val="32"/>
          <w:u w:val="none"/>
        </w:rPr>
        <w:fldChar w:fldCharType="end"/>
      </w:r>
      <w:r>
        <w:rPr>
          <w:rFonts w:hint="eastAsia" w:ascii="楷体" w:hAnsi="楷体" w:eastAsia="楷体" w:cs="楷体"/>
          <w:bCs/>
          <w:color w:val="auto"/>
          <w:kern w:val="0"/>
          <w:sz w:val="32"/>
          <w:szCs w:val="32"/>
          <w:u w:val="none"/>
        </w:rPr>
        <w:fldChar w:fldCharType="end"/>
      </w:r>
    </w:p>
    <w:p>
      <w:pPr>
        <w:pStyle w:val="6"/>
        <w:tabs>
          <w:tab w:val="right" w:leader="dot" w:pos="8306"/>
        </w:tabs>
        <w:rPr>
          <w:rFonts w:hint="eastAsia" w:ascii="黑体" w:hAnsi="黑体" w:eastAsia="黑体" w:cs="黑体"/>
          <w:color w:val="auto"/>
          <w:sz w:val="32"/>
          <w:szCs w:val="32"/>
          <w:u w:val="none"/>
        </w:rPr>
      </w:pPr>
      <w:r>
        <w:rPr>
          <w:rFonts w:hint="eastAsia" w:ascii="黑体" w:hAnsi="黑体" w:eastAsia="黑体" w:cs="黑体"/>
          <w:bCs/>
          <w:color w:val="auto"/>
          <w:kern w:val="0"/>
          <w:sz w:val="32"/>
          <w:szCs w:val="32"/>
          <w:u w:val="none"/>
        </w:rPr>
        <w:fldChar w:fldCharType="begin"/>
      </w:r>
      <w:r>
        <w:rPr>
          <w:rFonts w:hint="eastAsia" w:ascii="黑体" w:hAnsi="黑体" w:eastAsia="黑体" w:cs="黑体"/>
          <w:bCs/>
          <w:color w:val="auto"/>
          <w:kern w:val="0"/>
          <w:sz w:val="32"/>
          <w:szCs w:val="32"/>
          <w:u w:val="none"/>
        </w:rPr>
        <w:instrText xml:space="preserve"> HYPERLINK \l _Toc32571 </w:instrText>
      </w:r>
      <w:r>
        <w:rPr>
          <w:rFonts w:hint="eastAsia" w:ascii="黑体" w:hAnsi="黑体" w:eastAsia="黑体" w:cs="黑体"/>
          <w:bCs/>
          <w:color w:val="auto"/>
          <w:kern w:val="0"/>
          <w:sz w:val="32"/>
          <w:szCs w:val="32"/>
          <w:u w:val="none"/>
        </w:rPr>
        <w:fldChar w:fldCharType="separate"/>
      </w:r>
      <w:r>
        <w:rPr>
          <w:rFonts w:hint="eastAsia" w:ascii="黑体" w:hAnsi="黑体" w:eastAsia="黑体" w:cs="黑体"/>
          <w:color w:val="auto"/>
          <w:sz w:val="32"/>
          <w:szCs w:val="32"/>
          <w:u w:val="none"/>
        </w:rPr>
        <w:t>五、保障措施</w:t>
      </w:r>
      <w:r>
        <w:rPr>
          <w:rFonts w:hint="eastAsia" w:ascii="黑体" w:hAnsi="黑体" w:eastAsia="黑体" w:cs="黑体"/>
          <w:color w:val="auto"/>
          <w:sz w:val="32"/>
          <w:szCs w:val="32"/>
          <w:u w:val="none"/>
        </w:rPr>
        <w:tab/>
      </w:r>
      <w:r>
        <w:rPr>
          <w:rFonts w:hint="eastAsia" w:ascii="黑体" w:hAnsi="黑体" w:eastAsia="黑体" w:cs="黑体"/>
          <w:color w:val="auto"/>
          <w:sz w:val="32"/>
          <w:szCs w:val="32"/>
          <w:u w:val="none"/>
        </w:rPr>
        <w:fldChar w:fldCharType="begin"/>
      </w:r>
      <w:r>
        <w:rPr>
          <w:rFonts w:hint="eastAsia" w:ascii="黑体" w:hAnsi="黑体" w:eastAsia="黑体" w:cs="黑体"/>
          <w:color w:val="auto"/>
          <w:sz w:val="32"/>
          <w:szCs w:val="32"/>
          <w:u w:val="none"/>
        </w:rPr>
        <w:instrText xml:space="preserve"> PAGEREF _Toc32571 \h </w:instrText>
      </w:r>
      <w:r>
        <w:rPr>
          <w:rFonts w:hint="eastAsia" w:ascii="黑体" w:hAnsi="黑体" w:eastAsia="黑体" w:cs="黑体"/>
          <w:color w:val="auto"/>
          <w:sz w:val="32"/>
          <w:szCs w:val="32"/>
          <w:u w:val="none"/>
        </w:rPr>
        <w:fldChar w:fldCharType="separate"/>
      </w:r>
      <w:r>
        <w:rPr>
          <w:rFonts w:hint="eastAsia" w:ascii="黑体" w:hAnsi="黑体" w:eastAsia="黑体" w:cs="黑体"/>
          <w:color w:val="auto"/>
          <w:sz w:val="32"/>
          <w:szCs w:val="32"/>
          <w:u w:val="none"/>
        </w:rPr>
        <w:t>36</w:t>
      </w:r>
      <w:r>
        <w:rPr>
          <w:rFonts w:hint="eastAsia" w:ascii="黑体" w:hAnsi="黑体" w:eastAsia="黑体" w:cs="黑体"/>
          <w:color w:val="auto"/>
          <w:sz w:val="32"/>
          <w:szCs w:val="32"/>
          <w:u w:val="none"/>
        </w:rPr>
        <w:fldChar w:fldCharType="end"/>
      </w:r>
      <w:r>
        <w:rPr>
          <w:rFonts w:hint="eastAsia" w:ascii="黑体" w:hAnsi="黑体" w:eastAsia="黑体" w:cs="黑体"/>
          <w:bCs/>
          <w:color w:val="auto"/>
          <w:kern w:val="0"/>
          <w:sz w:val="32"/>
          <w:szCs w:val="32"/>
          <w:u w:val="none"/>
        </w:rPr>
        <w:fldChar w:fldCharType="end"/>
      </w:r>
    </w:p>
    <w:p>
      <w:pPr>
        <w:pStyle w:val="7"/>
        <w:tabs>
          <w:tab w:val="right" w:leader="dot" w:pos="8306"/>
        </w:tabs>
        <w:rPr>
          <w:rFonts w:hint="eastAsia" w:ascii="楷体" w:hAnsi="楷体" w:eastAsia="楷体" w:cs="楷体"/>
          <w:color w:val="auto"/>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_Toc15521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color w:val="auto"/>
          <w:sz w:val="32"/>
          <w:szCs w:val="32"/>
          <w:u w:val="none"/>
        </w:rPr>
        <w:t>（一）坚持党建引领，强化组织保障</w:t>
      </w:r>
      <w:r>
        <w:rPr>
          <w:rFonts w:hint="eastAsia" w:ascii="楷体" w:hAnsi="楷体" w:eastAsia="楷体" w:cs="楷体"/>
          <w:color w:val="auto"/>
          <w:sz w:val="32"/>
          <w:szCs w:val="32"/>
          <w:u w:val="none"/>
        </w:rPr>
        <w:tab/>
      </w:r>
      <w:r>
        <w:rPr>
          <w:rFonts w:hint="eastAsia" w:ascii="楷体" w:hAnsi="楷体" w:eastAsia="楷体" w:cs="楷体"/>
          <w:color w:val="auto"/>
          <w:sz w:val="32"/>
          <w:szCs w:val="32"/>
          <w:u w:val="none"/>
        </w:rPr>
        <w:fldChar w:fldCharType="begin"/>
      </w:r>
      <w:r>
        <w:rPr>
          <w:rFonts w:hint="eastAsia" w:ascii="楷体" w:hAnsi="楷体" w:eastAsia="楷体" w:cs="楷体"/>
          <w:color w:val="auto"/>
          <w:sz w:val="32"/>
          <w:szCs w:val="32"/>
          <w:u w:val="none"/>
        </w:rPr>
        <w:instrText xml:space="preserve"> PAGEREF _Toc15521 \h </w:instrText>
      </w:r>
      <w:r>
        <w:rPr>
          <w:rFonts w:hint="eastAsia" w:ascii="楷体" w:hAnsi="楷体" w:eastAsia="楷体" w:cs="楷体"/>
          <w:color w:val="auto"/>
          <w:sz w:val="32"/>
          <w:szCs w:val="32"/>
          <w:u w:val="none"/>
        </w:rPr>
        <w:fldChar w:fldCharType="separate"/>
      </w:r>
      <w:r>
        <w:rPr>
          <w:rFonts w:hint="eastAsia" w:ascii="楷体" w:hAnsi="楷体" w:eastAsia="楷体" w:cs="楷体"/>
          <w:color w:val="auto"/>
          <w:sz w:val="32"/>
          <w:szCs w:val="32"/>
          <w:u w:val="none"/>
        </w:rPr>
        <w:t>36</w:t>
      </w:r>
      <w:r>
        <w:rPr>
          <w:rFonts w:hint="eastAsia" w:ascii="楷体" w:hAnsi="楷体" w:eastAsia="楷体" w:cs="楷体"/>
          <w:color w:val="auto"/>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color w:val="auto"/>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_Toc17826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color w:val="auto"/>
          <w:sz w:val="32"/>
          <w:szCs w:val="32"/>
          <w:u w:val="none"/>
        </w:rPr>
        <w:t>（二）坚持改革创新，提高办学水平</w:t>
      </w:r>
      <w:r>
        <w:rPr>
          <w:rFonts w:hint="eastAsia" w:ascii="楷体" w:hAnsi="楷体" w:eastAsia="楷体" w:cs="楷体"/>
          <w:color w:val="auto"/>
          <w:sz w:val="32"/>
          <w:szCs w:val="32"/>
          <w:u w:val="none"/>
        </w:rPr>
        <w:tab/>
      </w:r>
      <w:r>
        <w:rPr>
          <w:rFonts w:hint="eastAsia" w:ascii="楷体" w:hAnsi="楷体" w:eastAsia="楷体" w:cs="楷体"/>
          <w:color w:val="auto"/>
          <w:sz w:val="32"/>
          <w:szCs w:val="32"/>
          <w:u w:val="none"/>
        </w:rPr>
        <w:fldChar w:fldCharType="begin"/>
      </w:r>
      <w:r>
        <w:rPr>
          <w:rFonts w:hint="eastAsia" w:ascii="楷体" w:hAnsi="楷体" w:eastAsia="楷体" w:cs="楷体"/>
          <w:color w:val="auto"/>
          <w:sz w:val="32"/>
          <w:szCs w:val="32"/>
          <w:u w:val="none"/>
        </w:rPr>
        <w:instrText xml:space="preserve"> PAGEREF _Toc17826 \h </w:instrText>
      </w:r>
      <w:r>
        <w:rPr>
          <w:rFonts w:hint="eastAsia" w:ascii="楷体" w:hAnsi="楷体" w:eastAsia="楷体" w:cs="楷体"/>
          <w:color w:val="auto"/>
          <w:sz w:val="32"/>
          <w:szCs w:val="32"/>
          <w:u w:val="none"/>
        </w:rPr>
        <w:fldChar w:fldCharType="separate"/>
      </w:r>
      <w:r>
        <w:rPr>
          <w:rFonts w:hint="eastAsia" w:ascii="楷体" w:hAnsi="楷体" w:eastAsia="楷体" w:cs="楷体"/>
          <w:color w:val="auto"/>
          <w:sz w:val="32"/>
          <w:szCs w:val="32"/>
          <w:u w:val="none"/>
        </w:rPr>
        <w:t>36</w:t>
      </w:r>
      <w:r>
        <w:rPr>
          <w:rFonts w:hint="eastAsia" w:ascii="楷体" w:hAnsi="楷体" w:eastAsia="楷体" w:cs="楷体"/>
          <w:color w:val="auto"/>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color w:val="auto"/>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_Toc25459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color w:val="auto"/>
          <w:sz w:val="32"/>
          <w:szCs w:val="32"/>
          <w:u w:val="none"/>
        </w:rPr>
        <w:t>（三）坚持目标引领，科学统筹协调</w:t>
      </w:r>
      <w:r>
        <w:rPr>
          <w:rFonts w:hint="eastAsia" w:ascii="楷体" w:hAnsi="楷体" w:eastAsia="楷体" w:cs="楷体"/>
          <w:color w:val="auto"/>
          <w:sz w:val="32"/>
          <w:szCs w:val="32"/>
          <w:u w:val="none"/>
        </w:rPr>
        <w:tab/>
      </w:r>
      <w:r>
        <w:rPr>
          <w:rFonts w:hint="eastAsia" w:ascii="楷体" w:hAnsi="楷体" w:eastAsia="楷体" w:cs="楷体"/>
          <w:color w:val="auto"/>
          <w:sz w:val="32"/>
          <w:szCs w:val="32"/>
          <w:u w:val="none"/>
        </w:rPr>
        <w:fldChar w:fldCharType="begin"/>
      </w:r>
      <w:r>
        <w:rPr>
          <w:rFonts w:hint="eastAsia" w:ascii="楷体" w:hAnsi="楷体" w:eastAsia="楷体" w:cs="楷体"/>
          <w:color w:val="auto"/>
          <w:sz w:val="32"/>
          <w:szCs w:val="32"/>
          <w:u w:val="none"/>
        </w:rPr>
        <w:instrText xml:space="preserve"> PAGEREF _Toc25459 \h </w:instrText>
      </w:r>
      <w:r>
        <w:rPr>
          <w:rFonts w:hint="eastAsia" w:ascii="楷体" w:hAnsi="楷体" w:eastAsia="楷体" w:cs="楷体"/>
          <w:color w:val="auto"/>
          <w:sz w:val="32"/>
          <w:szCs w:val="32"/>
          <w:u w:val="none"/>
        </w:rPr>
        <w:fldChar w:fldCharType="separate"/>
      </w:r>
      <w:r>
        <w:rPr>
          <w:rFonts w:hint="eastAsia" w:ascii="楷体" w:hAnsi="楷体" w:eastAsia="楷体" w:cs="楷体"/>
          <w:color w:val="auto"/>
          <w:sz w:val="32"/>
          <w:szCs w:val="32"/>
          <w:u w:val="none"/>
        </w:rPr>
        <w:t>36</w:t>
      </w:r>
      <w:r>
        <w:rPr>
          <w:rFonts w:hint="eastAsia" w:ascii="楷体" w:hAnsi="楷体" w:eastAsia="楷体" w:cs="楷体"/>
          <w:color w:val="auto"/>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color w:val="auto"/>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_Toc10805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color w:val="auto"/>
          <w:sz w:val="32"/>
          <w:szCs w:val="32"/>
          <w:u w:val="none"/>
        </w:rPr>
        <w:t>（四）坚持民主办学，汇聚师生才智</w:t>
      </w:r>
      <w:r>
        <w:rPr>
          <w:rFonts w:hint="eastAsia" w:ascii="楷体" w:hAnsi="楷体" w:eastAsia="楷体" w:cs="楷体"/>
          <w:color w:val="auto"/>
          <w:sz w:val="32"/>
          <w:szCs w:val="32"/>
          <w:u w:val="none"/>
        </w:rPr>
        <w:tab/>
      </w:r>
      <w:r>
        <w:rPr>
          <w:rFonts w:hint="eastAsia" w:ascii="楷体" w:hAnsi="楷体" w:eastAsia="楷体" w:cs="楷体"/>
          <w:color w:val="auto"/>
          <w:sz w:val="32"/>
          <w:szCs w:val="32"/>
          <w:u w:val="none"/>
        </w:rPr>
        <w:fldChar w:fldCharType="begin"/>
      </w:r>
      <w:r>
        <w:rPr>
          <w:rFonts w:hint="eastAsia" w:ascii="楷体" w:hAnsi="楷体" w:eastAsia="楷体" w:cs="楷体"/>
          <w:color w:val="auto"/>
          <w:sz w:val="32"/>
          <w:szCs w:val="32"/>
          <w:u w:val="none"/>
        </w:rPr>
        <w:instrText xml:space="preserve"> PAGEREF _Toc10805 \h </w:instrText>
      </w:r>
      <w:r>
        <w:rPr>
          <w:rFonts w:hint="eastAsia" w:ascii="楷体" w:hAnsi="楷体" w:eastAsia="楷体" w:cs="楷体"/>
          <w:color w:val="auto"/>
          <w:sz w:val="32"/>
          <w:szCs w:val="32"/>
          <w:u w:val="none"/>
        </w:rPr>
        <w:fldChar w:fldCharType="separate"/>
      </w:r>
      <w:r>
        <w:rPr>
          <w:rFonts w:hint="eastAsia" w:ascii="楷体" w:hAnsi="楷体" w:eastAsia="楷体" w:cs="楷体"/>
          <w:color w:val="auto"/>
          <w:sz w:val="32"/>
          <w:szCs w:val="32"/>
          <w:u w:val="none"/>
        </w:rPr>
        <w:t>37</w:t>
      </w:r>
      <w:r>
        <w:rPr>
          <w:rFonts w:hint="eastAsia" w:ascii="楷体" w:hAnsi="楷体" w:eastAsia="楷体" w:cs="楷体"/>
          <w:color w:val="auto"/>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color w:val="auto"/>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_Toc21818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color w:val="auto"/>
          <w:sz w:val="32"/>
          <w:szCs w:val="32"/>
          <w:u w:val="none"/>
        </w:rPr>
        <w:t>（五）坚持开放办学，增强发展合力</w:t>
      </w:r>
      <w:r>
        <w:rPr>
          <w:rFonts w:hint="eastAsia" w:ascii="楷体" w:hAnsi="楷体" w:eastAsia="楷体" w:cs="楷体"/>
          <w:color w:val="auto"/>
          <w:sz w:val="32"/>
          <w:szCs w:val="32"/>
          <w:u w:val="none"/>
        </w:rPr>
        <w:tab/>
      </w:r>
      <w:r>
        <w:rPr>
          <w:rFonts w:hint="eastAsia" w:ascii="楷体" w:hAnsi="楷体" w:eastAsia="楷体" w:cs="楷体"/>
          <w:color w:val="auto"/>
          <w:sz w:val="32"/>
          <w:szCs w:val="32"/>
          <w:u w:val="none"/>
        </w:rPr>
        <w:fldChar w:fldCharType="begin"/>
      </w:r>
      <w:r>
        <w:rPr>
          <w:rFonts w:hint="eastAsia" w:ascii="楷体" w:hAnsi="楷体" w:eastAsia="楷体" w:cs="楷体"/>
          <w:color w:val="auto"/>
          <w:sz w:val="32"/>
          <w:szCs w:val="32"/>
          <w:u w:val="none"/>
        </w:rPr>
        <w:instrText xml:space="preserve"> PAGEREF _Toc21818 \h </w:instrText>
      </w:r>
      <w:r>
        <w:rPr>
          <w:rFonts w:hint="eastAsia" w:ascii="楷体" w:hAnsi="楷体" w:eastAsia="楷体" w:cs="楷体"/>
          <w:color w:val="auto"/>
          <w:sz w:val="32"/>
          <w:szCs w:val="32"/>
          <w:u w:val="none"/>
        </w:rPr>
        <w:fldChar w:fldCharType="separate"/>
      </w:r>
      <w:r>
        <w:rPr>
          <w:rFonts w:hint="eastAsia" w:ascii="楷体" w:hAnsi="楷体" w:eastAsia="楷体" w:cs="楷体"/>
          <w:color w:val="auto"/>
          <w:sz w:val="32"/>
          <w:szCs w:val="32"/>
          <w:u w:val="none"/>
        </w:rPr>
        <w:t>37</w:t>
      </w:r>
      <w:r>
        <w:rPr>
          <w:rFonts w:hint="eastAsia" w:ascii="楷体" w:hAnsi="楷体" w:eastAsia="楷体" w:cs="楷体"/>
          <w:color w:val="auto"/>
          <w:sz w:val="32"/>
          <w:szCs w:val="32"/>
          <w:u w:val="none"/>
        </w:rPr>
        <w:fldChar w:fldCharType="end"/>
      </w:r>
      <w:r>
        <w:rPr>
          <w:rFonts w:hint="eastAsia" w:ascii="楷体" w:hAnsi="楷体" w:eastAsia="楷体" w:cs="楷体"/>
          <w:bCs/>
          <w:color w:val="auto"/>
          <w:kern w:val="0"/>
          <w:sz w:val="32"/>
          <w:szCs w:val="32"/>
          <w:u w:val="none"/>
        </w:rPr>
        <w:fldChar w:fldCharType="end"/>
      </w:r>
    </w:p>
    <w:p>
      <w:pPr>
        <w:pStyle w:val="7"/>
        <w:tabs>
          <w:tab w:val="right" w:leader="dot" w:pos="8306"/>
        </w:tabs>
        <w:rPr>
          <w:rFonts w:hint="eastAsia" w:ascii="楷体" w:hAnsi="楷体" w:eastAsia="楷体" w:cs="楷体"/>
          <w:color w:val="auto"/>
          <w:sz w:val="32"/>
          <w:szCs w:val="32"/>
          <w:u w:val="none"/>
        </w:rPr>
      </w:pPr>
      <w:r>
        <w:rPr>
          <w:rFonts w:hint="eastAsia" w:ascii="楷体" w:hAnsi="楷体" w:eastAsia="楷体" w:cs="楷体"/>
          <w:bCs/>
          <w:color w:val="auto"/>
          <w:kern w:val="0"/>
          <w:sz w:val="32"/>
          <w:szCs w:val="32"/>
          <w:u w:val="none"/>
        </w:rPr>
        <w:fldChar w:fldCharType="begin"/>
      </w:r>
      <w:r>
        <w:rPr>
          <w:rFonts w:hint="eastAsia" w:ascii="楷体" w:hAnsi="楷体" w:eastAsia="楷体" w:cs="楷体"/>
          <w:bCs/>
          <w:color w:val="auto"/>
          <w:kern w:val="0"/>
          <w:sz w:val="32"/>
          <w:szCs w:val="32"/>
          <w:u w:val="none"/>
        </w:rPr>
        <w:instrText xml:space="preserve"> HYPERLINK \l _Toc30333 </w:instrText>
      </w:r>
      <w:r>
        <w:rPr>
          <w:rFonts w:hint="eastAsia" w:ascii="楷体" w:hAnsi="楷体" w:eastAsia="楷体" w:cs="楷体"/>
          <w:bCs/>
          <w:color w:val="auto"/>
          <w:kern w:val="0"/>
          <w:sz w:val="32"/>
          <w:szCs w:val="32"/>
          <w:u w:val="none"/>
        </w:rPr>
        <w:fldChar w:fldCharType="separate"/>
      </w:r>
      <w:r>
        <w:rPr>
          <w:rFonts w:hint="eastAsia" w:ascii="楷体" w:hAnsi="楷体" w:eastAsia="楷体" w:cs="楷体"/>
          <w:color w:val="auto"/>
          <w:sz w:val="32"/>
          <w:szCs w:val="32"/>
          <w:u w:val="none"/>
        </w:rPr>
        <w:t>（六）坚持激励引导，强化评估督查</w:t>
      </w:r>
      <w:r>
        <w:rPr>
          <w:rFonts w:hint="eastAsia" w:ascii="楷体" w:hAnsi="楷体" w:eastAsia="楷体" w:cs="楷体"/>
          <w:color w:val="auto"/>
          <w:sz w:val="32"/>
          <w:szCs w:val="32"/>
          <w:u w:val="none"/>
        </w:rPr>
        <w:tab/>
      </w:r>
      <w:r>
        <w:rPr>
          <w:rFonts w:hint="eastAsia" w:ascii="楷体" w:hAnsi="楷体" w:eastAsia="楷体" w:cs="楷体"/>
          <w:color w:val="auto"/>
          <w:sz w:val="32"/>
          <w:szCs w:val="32"/>
          <w:u w:val="none"/>
        </w:rPr>
        <w:fldChar w:fldCharType="begin"/>
      </w:r>
      <w:r>
        <w:rPr>
          <w:rFonts w:hint="eastAsia" w:ascii="楷体" w:hAnsi="楷体" w:eastAsia="楷体" w:cs="楷体"/>
          <w:color w:val="auto"/>
          <w:sz w:val="32"/>
          <w:szCs w:val="32"/>
          <w:u w:val="none"/>
        </w:rPr>
        <w:instrText xml:space="preserve"> PAGEREF _Toc30333 \h </w:instrText>
      </w:r>
      <w:r>
        <w:rPr>
          <w:rFonts w:hint="eastAsia" w:ascii="楷体" w:hAnsi="楷体" w:eastAsia="楷体" w:cs="楷体"/>
          <w:color w:val="auto"/>
          <w:sz w:val="32"/>
          <w:szCs w:val="32"/>
          <w:u w:val="none"/>
        </w:rPr>
        <w:fldChar w:fldCharType="separate"/>
      </w:r>
      <w:r>
        <w:rPr>
          <w:rFonts w:hint="eastAsia" w:ascii="楷体" w:hAnsi="楷体" w:eastAsia="楷体" w:cs="楷体"/>
          <w:color w:val="auto"/>
          <w:sz w:val="32"/>
          <w:szCs w:val="32"/>
          <w:u w:val="none"/>
        </w:rPr>
        <w:t>37</w:t>
      </w:r>
      <w:r>
        <w:rPr>
          <w:rFonts w:hint="eastAsia" w:ascii="楷体" w:hAnsi="楷体" w:eastAsia="楷体" w:cs="楷体"/>
          <w:color w:val="auto"/>
          <w:sz w:val="32"/>
          <w:szCs w:val="32"/>
          <w:u w:val="none"/>
        </w:rPr>
        <w:fldChar w:fldCharType="end"/>
      </w:r>
      <w:r>
        <w:rPr>
          <w:rFonts w:hint="eastAsia" w:ascii="楷体" w:hAnsi="楷体" w:eastAsia="楷体" w:cs="楷体"/>
          <w:bCs/>
          <w:color w:val="auto"/>
          <w:kern w:val="0"/>
          <w:sz w:val="32"/>
          <w:szCs w:val="32"/>
          <w:u w:val="none"/>
        </w:rPr>
        <w:fldChar w:fldCharType="end"/>
      </w:r>
    </w:p>
    <w:p>
      <w:pPr>
        <w:pStyle w:val="6"/>
        <w:tabs>
          <w:tab w:val="right" w:leader="dot" w:pos="8306"/>
        </w:tabs>
        <w:rPr>
          <w:rFonts w:hint="eastAsia" w:ascii="黑体" w:hAnsi="黑体" w:eastAsia="黑体" w:cs="黑体"/>
          <w:color w:val="auto"/>
          <w:sz w:val="32"/>
          <w:szCs w:val="32"/>
          <w:u w:val="none"/>
        </w:rPr>
      </w:pPr>
      <w:r>
        <w:rPr>
          <w:rFonts w:hint="eastAsia" w:ascii="黑体" w:hAnsi="黑体" w:eastAsia="黑体" w:cs="黑体"/>
          <w:bCs/>
          <w:color w:val="auto"/>
          <w:kern w:val="0"/>
          <w:sz w:val="32"/>
          <w:szCs w:val="32"/>
          <w:u w:val="none"/>
        </w:rPr>
        <w:fldChar w:fldCharType="begin"/>
      </w:r>
      <w:r>
        <w:rPr>
          <w:rFonts w:hint="eastAsia" w:ascii="黑体" w:hAnsi="黑体" w:eastAsia="黑体" w:cs="黑体"/>
          <w:bCs/>
          <w:color w:val="auto"/>
          <w:kern w:val="0"/>
          <w:sz w:val="32"/>
          <w:szCs w:val="32"/>
          <w:u w:val="none"/>
        </w:rPr>
        <w:instrText xml:space="preserve"> HYPERLINK \l _Toc2865 </w:instrText>
      </w:r>
      <w:r>
        <w:rPr>
          <w:rFonts w:hint="eastAsia" w:ascii="黑体" w:hAnsi="黑体" w:eastAsia="黑体" w:cs="黑体"/>
          <w:bCs/>
          <w:color w:val="auto"/>
          <w:kern w:val="0"/>
          <w:sz w:val="32"/>
          <w:szCs w:val="32"/>
          <w:u w:val="none"/>
        </w:rPr>
        <w:fldChar w:fldCharType="separate"/>
      </w:r>
      <w:r>
        <w:rPr>
          <w:rFonts w:hint="eastAsia" w:ascii="黑体" w:hAnsi="黑体" w:eastAsia="黑体" w:cs="黑体"/>
          <w:color w:val="auto"/>
          <w:sz w:val="32"/>
          <w:szCs w:val="32"/>
          <w:u w:val="none"/>
        </w:rPr>
        <w:t>附件</w:t>
      </w:r>
      <w:r>
        <w:rPr>
          <w:rFonts w:hint="eastAsia" w:ascii="黑体" w:hAnsi="黑体" w:eastAsia="黑体" w:cs="黑体"/>
          <w:color w:val="auto"/>
          <w:sz w:val="32"/>
          <w:szCs w:val="32"/>
          <w:u w:val="none"/>
          <w:lang w:eastAsia="zh-CN"/>
        </w:rPr>
        <w:t>：</w:t>
      </w:r>
      <w:r>
        <w:rPr>
          <w:rFonts w:hint="eastAsia" w:ascii="黑体" w:hAnsi="黑体" w:eastAsia="黑体" w:cs="黑体"/>
          <w:bCs/>
          <w:color w:val="auto"/>
          <w:kern w:val="0"/>
          <w:sz w:val="32"/>
          <w:szCs w:val="32"/>
          <w:u w:val="none"/>
        </w:rPr>
        <w:fldChar w:fldCharType="end"/>
      </w:r>
      <w:r>
        <w:rPr>
          <w:rFonts w:hint="eastAsia" w:ascii="黑体" w:hAnsi="黑体" w:eastAsia="黑体" w:cs="黑体"/>
          <w:bCs/>
          <w:color w:val="auto"/>
          <w:kern w:val="0"/>
          <w:sz w:val="32"/>
          <w:szCs w:val="32"/>
          <w:u w:val="none"/>
        </w:rPr>
        <w:fldChar w:fldCharType="begin"/>
      </w:r>
      <w:r>
        <w:rPr>
          <w:rFonts w:hint="eastAsia" w:ascii="黑体" w:hAnsi="黑体" w:eastAsia="黑体" w:cs="黑体"/>
          <w:bCs/>
          <w:color w:val="auto"/>
          <w:kern w:val="0"/>
          <w:sz w:val="32"/>
          <w:szCs w:val="32"/>
          <w:u w:val="none"/>
        </w:rPr>
        <w:instrText xml:space="preserve"> HYPERLINK \l _Toc1358 </w:instrText>
      </w:r>
      <w:r>
        <w:rPr>
          <w:rFonts w:hint="eastAsia" w:ascii="黑体" w:hAnsi="黑体" w:eastAsia="黑体" w:cs="黑体"/>
          <w:bCs/>
          <w:color w:val="auto"/>
          <w:kern w:val="0"/>
          <w:sz w:val="32"/>
          <w:szCs w:val="32"/>
          <w:u w:val="none"/>
        </w:rPr>
        <w:fldChar w:fldCharType="separate"/>
      </w:r>
      <w:r>
        <w:rPr>
          <w:rFonts w:hint="eastAsia" w:ascii="黑体" w:hAnsi="黑体" w:eastAsia="黑体" w:cs="黑体"/>
          <w:color w:val="auto"/>
          <w:sz w:val="32"/>
          <w:szCs w:val="32"/>
          <w:u w:val="none"/>
        </w:rPr>
        <w:t>“十四五”主要建设任务指标</w:t>
      </w:r>
      <w:r>
        <w:rPr>
          <w:rFonts w:hint="eastAsia" w:ascii="黑体" w:hAnsi="黑体" w:eastAsia="黑体" w:cs="黑体"/>
          <w:color w:val="auto"/>
          <w:sz w:val="32"/>
          <w:szCs w:val="32"/>
          <w:u w:val="none"/>
        </w:rPr>
        <w:tab/>
      </w:r>
      <w:r>
        <w:rPr>
          <w:rFonts w:hint="eastAsia" w:ascii="黑体" w:hAnsi="黑体" w:eastAsia="黑体" w:cs="黑体"/>
          <w:color w:val="auto"/>
          <w:sz w:val="32"/>
          <w:szCs w:val="32"/>
          <w:u w:val="none"/>
        </w:rPr>
        <w:fldChar w:fldCharType="begin"/>
      </w:r>
      <w:r>
        <w:rPr>
          <w:rFonts w:hint="eastAsia" w:ascii="黑体" w:hAnsi="黑体" w:eastAsia="黑体" w:cs="黑体"/>
          <w:color w:val="auto"/>
          <w:sz w:val="32"/>
          <w:szCs w:val="32"/>
          <w:u w:val="none"/>
        </w:rPr>
        <w:instrText xml:space="preserve"> PAGEREF _Toc1358 \h </w:instrText>
      </w:r>
      <w:r>
        <w:rPr>
          <w:rFonts w:hint="eastAsia" w:ascii="黑体" w:hAnsi="黑体" w:eastAsia="黑体" w:cs="黑体"/>
          <w:color w:val="auto"/>
          <w:sz w:val="32"/>
          <w:szCs w:val="32"/>
          <w:u w:val="none"/>
        </w:rPr>
        <w:fldChar w:fldCharType="separate"/>
      </w:r>
      <w:r>
        <w:rPr>
          <w:rFonts w:hint="eastAsia" w:ascii="黑体" w:hAnsi="黑体" w:eastAsia="黑体" w:cs="黑体"/>
          <w:color w:val="auto"/>
          <w:sz w:val="32"/>
          <w:szCs w:val="32"/>
          <w:u w:val="none"/>
        </w:rPr>
        <w:t>39</w:t>
      </w:r>
      <w:r>
        <w:rPr>
          <w:rFonts w:hint="eastAsia" w:ascii="黑体" w:hAnsi="黑体" w:eastAsia="黑体" w:cs="黑体"/>
          <w:color w:val="auto"/>
          <w:sz w:val="32"/>
          <w:szCs w:val="32"/>
          <w:u w:val="none"/>
        </w:rPr>
        <w:fldChar w:fldCharType="end"/>
      </w:r>
      <w:r>
        <w:rPr>
          <w:rFonts w:hint="eastAsia" w:ascii="黑体" w:hAnsi="黑体" w:eastAsia="黑体" w:cs="黑体"/>
          <w:bCs/>
          <w:color w:val="auto"/>
          <w:kern w:val="0"/>
          <w:sz w:val="32"/>
          <w:szCs w:val="32"/>
          <w:u w:val="none"/>
        </w:rPr>
        <w:fldChar w:fldCharType="end"/>
      </w:r>
    </w:p>
    <w:p>
      <w:pPr>
        <w:snapToGrid w:val="0"/>
        <w:spacing w:line="500" w:lineRule="exact"/>
        <w:ind w:firstLine="627" w:firstLineChars="196"/>
        <w:rPr>
          <w:rStyle w:val="20"/>
          <w:rFonts w:ascii="黑体" w:hAnsi="黑体" w:eastAsia="黑体" w:cs="仿宋_GB2312"/>
          <w:bCs/>
          <w:color w:val="auto"/>
          <w:kern w:val="0"/>
          <w:sz w:val="32"/>
          <w:szCs w:val="32"/>
          <w:u w:val="none"/>
        </w:rPr>
      </w:pPr>
      <w:r>
        <w:rPr>
          <w:rFonts w:hint="eastAsia" w:ascii="黑体" w:hAnsi="黑体" w:eastAsia="黑体" w:cs="黑体"/>
          <w:bCs/>
          <w:color w:val="auto"/>
          <w:kern w:val="0"/>
          <w:sz w:val="32"/>
          <w:szCs w:val="32"/>
          <w:u w:val="none"/>
        </w:rPr>
        <w:fldChar w:fldCharType="end"/>
      </w: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00" w:lineRule="exact"/>
        <w:ind w:firstLine="627" w:firstLineChars="196"/>
        <w:rPr>
          <w:rStyle w:val="20"/>
          <w:rFonts w:ascii="黑体" w:hAnsi="黑体" w:eastAsia="黑体" w:cs="仿宋_GB2312"/>
          <w:bCs/>
          <w:color w:val="auto"/>
          <w:kern w:val="0"/>
          <w:sz w:val="32"/>
          <w:szCs w:val="32"/>
          <w:u w:val="none"/>
        </w:rPr>
      </w:pPr>
    </w:p>
    <w:p>
      <w:pPr>
        <w:snapToGrid w:val="0"/>
        <w:spacing w:line="560" w:lineRule="exact"/>
        <w:ind w:firstLine="630" w:firstLineChars="196"/>
        <w:rPr>
          <w:rStyle w:val="20"/>
          <w:rFonts w:ascii="黑体" w:hAnsi="黑体" w:eastAsia="黑体" w:cs="仿宋_GB2312"/>
          <w:b/>
          <w:color w:val="auto"/>
          <w:kern w:val="0"/>
          <w:sz w:val="32"/>
          <w:szCs w:val="32"/>
          <w:u w:val="none"/>
        </w:rPr>
      </w:pPr>
    </w:p>
    <w:p>
      <w:pPr>
        <w:snapToGrid w:val="0"/>
        <w:spacing w:line="560" w:lineRule="exact"/>
        <w:ind w:firstLine="630" w:firstLineChars="196"/>
        <w:rPr>
          <w:rStyle w:val="20"/>
          <w:rFonts w:ascii="黑体" w:hAnsi="黑体" w:eastAsia="黑体" w:cs="仿宋_GB2312"/>
          <w:b/>
          <w:color w:val="auto"/>
          <w:kern w:val="0"/>
          <w:sz w:val="32"/>
          <w:szCs w:val="32"/>
          <w:u w:val="none"/>
        </w:rPr>
      </w:pPr>
    </w:p>
    <w:p>
      <w:pPr>
        <w:pStyle w:val="16"/>
        <w:pageBreakBefore w:val="0"/>
        <w:widowControl/>
        <w:kinsoku/>
        <w:wordWrap/>
        <w:overflowPunct/>
        <w:topLinePunct w:val="0"/>
        <w:autoSpaceDE/>
        <w:autoSpaceDN/>
        <w:bidi w:val="0"/>
        <w:adjustRightInd/>
        <w:snapToGrid/>
        <w:spacing w:before="0" w:after="0" w:line="240" w:lineRule="auto"/>
        <w:jc w:val="center"/>
        <w:textAlignment w:val="baseline"/>
        <w:rPr>
          <w:rStyle w:val="20"/>
          <w:rFonts w:ascii="方正小标宋简体" w:hAnsi="仿宋_GB2312" w:eastAsia="方正小标宋简体" w:cs="仿宋_GB2312"/>
          <w:color w:val="auto"/>
          <w:sz w:val="40"/>
          <w:szCs w:val="40"/>
          <w:u w:val="none"/>
        </w:rPr>
      </w:pPr>
      <w:r>
        <w:rPr>
          <w:rStyle w:val="20"/>
          <w:rFonts w:ascii="方正小标宋简体" w:hAnsi="仿宋_GB2312" w:eastAsia="方正小标宋简体" w:cs="仿宋_GB2312"/>
          <w:color w:val="auto"/>
          <w:sz w:val="40"/>
          <w:szCs w:val="40"/>
          <w:u w:val="none"/>
        </w:rPr>
        <w:t>北京印刷学院“十四五”发展规划</w:t>
      </w:r>
    </w:p>
    <w:p>
      <w:pPr>
        <w:pStyle w:val="16"/>
        <w:pageBreakBefore w:val="0"/>
        <w:widowControl/>
        <w:kinsoku/>
        <w:wordWrap/>
        <w:overflowPunct/>
        <w:topLinePunct w:val="0"/>
        <w:autoSpaceDE/>
        <w:autoSpaceDN/>
        <w:bidi w:val="0"/>
        <w:adjustRightInd/>
        <w:snapToGrid/>
        <w:spacing w:before="0" w:after="0" w:line="240" w:lineRule="auto"/>
        <w:jc w:val="center"/>
        <w:textAlignment w:val="baseline"/>
        <w:rPr>
          <w:rStyle w:val="20"/>
          <w:rFonts w:ascii="方正小标宋简体" w:hAnsi="仿宋_GB2312" w:eastAsia="方正小标宋简体" w:cs="仿宋_GB2312"/>
          <w:color w:val="auto"/>
          <w:sz w:val="40"/>
          <w:szCs w:val="40"/>
          <w:u w:val="none"/>
        </w:rPr>
      </w:pPr>
      <w:r>
        <w:rPr>
          <w:rStyle w:val="20"/>
          <w:rFonts w:ascii="方正小标宋简体" w:hAnsi="仿宋_GB2312" w:eastAsia="方正小标宋简体" w:cs="仿宋_GB2312"/>
          <w:color w:val="auto"/>
          <w:sz w:val="40"/>
          <w:szCs w:val="40"/>
          <w:u w:val="none"/>
        </w:rPr>
        <w:t>（2021-2025年）</w:t>
      </w:r>
    </w:p>
    <w:p>
      <w:pPr>
        <w:pageBreakBefore w:val="0"/>
        <w:widowControl/>
        <w:kinsoku/>
        <w:wordWrap/>
        <w:overflowPunct/>
        <w:topLinePunct w:val="0"/>
        <w:autoSpaceDE/>
        <w:autoSpaceDN/>
        <w:bidi w:val="0"/>
        <w:adjustRightInd/>
        <w:snapToGrid/>
        <w:spacing w:line="240" w:lineRule="auto"/>
        <w:jc w:val="center"/>
        <w:textAlignment w:val="baseline"/>
        <w:rPr>
          <w:rStyle w:val="20"/>
          <w:rFonts w:ascii="仿宋_GB2312" w:hAnsi="仿宋_GB2312" w:eastAsia="仿宋_GB2312"/>
          <w:color w:val="auto"/>
          <w:sz w:val="32"/>
          <w:szCs w:val="32"/>
          <w:u w:val="none"/>
        </w:rPr>
      </w:pPr>
    </w:p>
    <w:p>
      <w:pPr>
        <w:keepNext w:val="0"/>
        <w:keepLines w:val="0"/>
        <w:pageBreakBefore w:val="0"/>
        <w:widowControl/>
        <w:kinsoku/>
        <w:wordWrap/>
        <w:overflowPunct/>
        <w:topLinePunct w:val="0"/>
        <w:autoSpaceDE/>
        <w:autoSpaceDN/>
        <w:bidi w:val="0"/>
        <w:adjustRightInd/>
        <w:snapToGrid w:val="0"/>
        <w:spacing w:line="560" w:lineRule="exact"/>
        <w:ind w:firstLine="630" w:firstLineChars="196"/>
        <w:textAlignment w:val="baseline"/>
        <w:rPr>
          <w:rStyle w:val="20"/>
          <w:rFonts w:ascii="仿宋_GB2312" w:hAnsi="仿宋_GB2312" w:eastAsia="仿宋_GB2312"/>
          <w:color w:val="auto"/>
          <w:sz w:val="32"/>
          <w:szCs w:val="32"/>
          <w:u w:val="none"/>
        </w:rPr>
      </w:pPr>
      <w:r>
        <w:rPr>
          <w:rStyle w:val="20"/>
          <w:rFonts w:ascii="黑体" w:hAnsi="黑体" w:eastAsia="黑体" w:cs="仿宋_GB2312"/>
          <w:b/>
          <w:color w:val="auto"/>
          <w:kern w:val="0"/>
          <w:sz w:val="32"/>
          <w:szCs w:val="32"/>
          <w:u w:val="none"/>
        </w:rPr>
        <w:t>规划性质：</w:t>
      </w:r>
      <w:r>
        <w:rPr>
          <w:rStyle w:val="20"/>
          <w:rFonts w:hint="eastAsia" w:ascii="仿宋_GB2312" w:hAnsi="仿宋_GB2312" w:eastAsia="仿宋_GB2312"/>
          <w:color w:val="auto"/>
          <w:sz w:val="32"/>
          <w:szCs w:val="32"/>
          <w:u w:val="none"/>
        </w:rPr>
        <w:t>“十四五”时期，是首都教育全面落实《北京城市总体规划（2016年-2035年）》《首都教育现代化2035》，向实现高水平教育现代化迈进的重要时期。同时，是北京印刷学院</w:t>
      </w:r>
      <w:r>
        <w:rPr>
          <w:rStyle w:val="20"/>
          <w:rFonts w:hint="eastAsia" w:ascii="仿宋_GB2312" w:hAnsi="仿宋_GB2312" w:eastAsia="仿宋_GB2312"/>
          <w:color w:val="auto"/>
          <w:sz w:val="32"/>
          <w:szCs w:val="32"/>
          <w:u w:val="none"/>
          <w:lang w:eastAsia="zh-CN"/>
        </w:rPr>
        <w:t>推进</w:t>
      </w:r>
      <w:r>
        <w:rPr>
          <w:rStyle w:val="20"/>
          <w:rFonts w:ascii="仿宋_GB2312" w:hAnsi="仿宋_GB2312" w:eastAsia="仿宋_GB2312"/>
          <w:color w:val="auto"/>
          <w:sz w:val="32"/>
          <w:szCs w:val="32"/>
          <w:u w:val="none"/>
        </w:rPr>
        <w:t>高水平特色</w:t>
      </w:r>
      <w:r>
        <w:rPr>
          <w:rStyle w:val="20"/>
          <w:rFonts w:hint="eastAsia" w:ascii="仿宋_GB2312" w:hAnsi="仿宋_GB2312" w:eastAsia="仿宋_GB2312"/>
          <w:color w:val="auto"/>
          <w:sz w:val="32"/>
          <w:szCs w:val="32"/>
          <w:u w:val="none"/>
          <w:lang w:eastAsia="zh-CN"/>
        </w:rPr>
        <w:t>型</w:t>
      </w:r>
      <w:r>
        <w:rPr>
          <w:rStyle w:val="20"/>
          <w:rFonts w:ascii="仿宋_GB2312" w:hAnsi="仿宋_GB2312" w:eastAsia="仿宋_GB2312"/>
          <w:color w:val="auto"/>
          <w:sz w:val="32"/>
          <w:szCs w:val="32"/>
          <w:u w:val="none"/>
        </w:rPr>
        <w:t>大学建设的关键时期，是进一步改革创新、提高质量、彰显特色的关键时期，是学校发展的重要战略机遇期</w:t>
      </w:r>
      <w:r>
        <w:rPr>
          <w:rStyle w:val="20"/>
          <w:rFonts w:ascii="仿宋_GB2312" w:hAnsi="仿宋_GB2312" w:eastAsia="仿宋_GB2312"/>
          <w:color w:val="auto"/>
          <w:kern w:val="0"/>
          <w:sz w:val="32"/>
          <w:szCs w:val="32"/>
          <w:u w:val="none"/>
        </w:rPr>
        <w:t>。</w:t>
      </w:r>
      <w:r>
        <w:rPr>
          <w:rStyle w:val="20"/>
          <w:rFonts w:ascii="仿宋_GB2312" w:hAnsi="仿宋_GB2312" w:eastAsia="仿宋_GB2312"/>
          <w:color w:val="auto"/>
          <w:sz w:val="32"/>
          <w:szCs w:val="32"/>
          <w:u w:val="none"/>
        </w:rPr>
        <w:t>“十四五”规划是学校主动适应</w:t>
      </w:r>
      <w:r>
        <w:rPr>
          <w:rStyle w:val="20"/>
          <w:rFonts w:hint="eastAsia" w:ascii="仿宋_GB2312" w:hAnsi="仿宋_GB2312" w:eastAsia="仿宋_GB2312"/>
          <w:color w:val="auto"/>
          <w:sz w:val="32"/>
          <w:szCs w:val="32"/>
          <w:u w:val="none"/>
        </w:rPr>
        <w:t>国家文化强国建设重大战略、</w:t>
      </w:r>
      <w:r>
        <w:rPr>
          <w:rStyle w:val="20"/>
          <w:rFonts w:ascii="仿宋_GB2312" w:hAnsi="仿宋_GB2312" w:eastAsia="仿宋_GB2312"/>
          <w:color w:val="auto"/>
          <w:sz w:val="32"/>
          <w:szCs w:val="32"/>
          <w:u w:val="none"/>
        </w:rPr>
        <w:t>北京“四个中心”建设和新闻出版业转型升级融合发展需求、编制专项规划和制定年度计划的重要依据，是全校师生“十四五”时期共同奋斗的行动纲领。</w:t>
      </w:r>
    </w:p>
    <w:p>
      <w:pPr>
        <w:keepNext w:val="0"/>
        <w:keepLines w:val="0"/>
        <w:pageBreakBefore w:val="0"/>
        <w:widowControl/>
        <w:kinsoku/>
        <w:wordWrap/>
        <w:overflowPunct/>
        <w:topLinePunct w:val="0"/>
        <w:autoSpaceDE/>
        <w:autoSpaceDN/>
        <w:bidi w:val="0"/>
        <w:adjustRightInd/>
        <w:snapToGrid w:val="0"/>
        <w:spacing w:line="560" w:lineRule="exact"/>
        <w:ind w:firstLine="643" w:firstLineChars="200"/>
        <w:textAlignment w:val="baseline"/>
        <w:rPr>
          <w:rStyle w:val="20"/>
          <w:rFonts w:ascii="仿宋_GB2312" w:hAnsi="仿宋_GB2312" w:eastAsia="仿宋_GB2312"/>
          <w:color w:val="auto"/>
          <w:sz w:val="32"/>
          <w:szCs w:val="32"/>
          <w:u w:val="none"/>
        </w:rPr>
      </w:pPr>
      <w:r>
        <w:rPr>
          <w:rStyle w:val="20"/>
          <w:rFonts w:ascii="黑体" w:hAnsi="黑体" w:eastAsia="黑体" w:cs="仿宋_GB2312"/>
          <w:b/>
          <w:color w:val="auto"/>
          <w:kern w:val="0"/>
          <w:sz w:val="32"/>
          <w:szCs w:val="32"/>
          <w:u w:val="none"/>
        </w:rPr>
        <w:t>规划依据：</w:t>
      </w:r>
      <w:r>
        <w:rPr>
          <w:rStyle w:val="20"/>
          <w:rFonts w:ascii="仿宋_GB2312" w:hAnsi="仿宋_GB2312" w:eastAsia="仿宋_GB2312"/>
          <w:color w:val="auto"/>
          <w:sz w:val="32"/>
          <w:szCs w:val="32"/>
          <w:u w:val="none"/>
        </w:rPr>
        <w:t>根据习近平总书记对“十四五”规划编制工作的重要指示、党的十九届五中全会精神，</w:t>
      </w:r>
      <w:r>
        <w:rPr>
          <w:rStyle w:val="20"/>
          <w:rFonts w:hint="eastAsia" w:ascii="仿宋_GB2312" w:hAnsi="仿宋_GB2312" w:eastAsia="仿宋_GB2312"/>
          <w:color w:val="auto"/>
          <w:sz w:val="32"/>
          <w:szCs w:val="32"/>
          <w:u w:val="none"/>
        </w:rPr>
        <w:t>《中华人民共和国国民经济和社会发展第十四个五年规划</w:t>
      </w:r>
      <w:r>
        <w:rPr>
          <w:rStyle w:val="20"/>
          <w:rFonts w:ascii="仿宋_GB2312" w:hAnsi="仿宋_GB2312" w:eastAsia="仿宋_GB2312"/>
          <w:color w:val="auto"/>
          <w:sz w:val="32"/>
          <w:szCs w:val="32"/>
          <w:u w:val="none"/>
        </w:rPr>
        <w:t>和2035年远景目标纲要</w:t>
      </w:r>
      <w:r>
        <w:rPr>
          <w:rStyle w:val="20"/>
          <w:rFonts w:hint="eastAsia" w:ascii="仿宋_GB2312" w:hAnsi="仿宋_GB2312" w:eastAsia="仿宋_GB2312"/>
          <w:color w:val="auto"/>
          <w:sz w:val="32"/>
          <w:szCs w:val="32"/>
          <w:u w:val="none"/>
        </w:rPr>
        <w:t>》</w:t>
      </w:r>
      <w:r>
        <w:rPr>
          <w:rStyle w:val="20"/>
          <w:rFonts w:hint="eastAsia" w:ascii="仿宋_GB2312" w:hAnsi="仿宋_GB2312" w:eastAsia="仿宋_GB2312"/>
          <w:color w:val="auto"/>
          <w:sz w:val="32"/>
          <w:szCs w:val="32"/>
          <w:u w:val="none"/>
          <w:lang w:eastAsia="zh-CN"/>
        </w:rPr>
        <w:t>、</w:t>
      </w:r>
      <w:r>
        <w:rPr>
          <w:rStyle w:val="20"/>
          <w:rFonts w:hint="eastAsia" w:ascii="仿宋_GB2312" w:hAnsi="仿宋_GB2312" w:eastAsia="仿宋_GB2312" w:cs="Times New Roman"/>
          <w:b w:val="0"/>
          <w:bCs w:val="0"/>
          <w:i w:val="0"/>
          <w:iCs w:val="0"/>
          <w:color w:val="auto"/>
          <w:sz w:val="32"/>
          <w:szCs w:val="32"/>
          <w:u w:val="none"/>
          <w:lang w:val="en-US" w:eastAsia="zh-CN"/>
        </w:rPr>
        <w:t>中共</w:t>
      </w:r>
      <w:r>
        <w:rPr>
          <w:rStyle w:val="20"/>
          <w:rFonts w:hint="default" w:ascii="仿宋_GB2312" w:hAnsi="仿宋_GB2312" w:eastAsia="仿宋_GB2312" w:cs="Times New Roman"/>
          <w:b w:val="0"/>
          <w:bCs w:val="0"/>
          <w:i w:val="0"/>
          <w:iCs w:val="0"/>
          <w:color w:val="auto"/>
          <w:sz w:val="32"/>
          <w:szCs w:val="32"/>
          <w:u w:val="none"/>
          <w:lang w:val="en-US" w:eastAsia="zh-CN"/>
        </w:rPr>
        <w:t>中央国务院《深化新时代教育评价改革总体方案》</w:t>
      </w:r>
      <w:r>
        <w:rPr>
          <w:rStyle w:val="20"/>
          <w:rFonts w:hint="eastAsia" w:ascii="仿宋_GB2312" w:hAnsi="仿宋_GB2312" w:eastAsia="仿宋_GB2312"/>
          <w:b w:val="0"/>
          <w:bCs w:val="0"/>
          <w:color w:val="auto"/>
          <w:sz w:val="32"/>
          <w:szCs w:val="32"/>
          <w:u w:val="none"/>
        </w:rPr>
        <w:t>《</w:t>
      </w:r>
      <w:r>
        <w:rPr>
          <w:rStyle w:val="20"/>
          <w:rFonts w:hint="eastAsia" w:ascii="仿宋_GB2312" w:hAnsi="仿宋_GB2312" w:eastAsia="仿宋_GB2312"/>
          <w:color w:val="auto"/>
          <w:sz w:val="32"/>
          <w:szCs w:val="32"/>
          <w:u w:val="none"/>
        </w:rPr>
        <w:t>京津冀协同发展规划纲要》《北京市国民经济和社会发展第十四个五年规划</w:t>
      </w:r>
      <w:r>
        <w:rPr>
          <w:rStyle w:val="20"/>
          <w:rFonts w:ascii="仿宋_GB2312" w:hAnsi="仿宋_GB2312" w:eastAsia="仿宋_GB2312"/>
          <w:color w:val="auto"/>
          <w:sz w:val="32"/>
          <w:szCs w:val="32"/>
          <w:u w:val="none"/>
        </w:rPr>
        <w:t>和</w:t>
      </w:r>
      <w:r>
        <w:rPr>
          <w:rStyle w:val="20"/>
          <w:rFonts w:hint="eastAsia" w:ascii="仿宋_GB2312" w:hAnsi="仿宋_GB2312" w:eastAsia="仿宋_GB2312"/>
          <w:color w:val="auto"/>
          <w:sz w:val="32"/>
          <w:szCs w:val="32"/>
          <w:u w:val="none"/>
        </w:rPr>
        <w:t>2035</w:t>
      </w:r>
      <w:r>
        <w:rPr>
          <w:rStyle w:val="20"/>
          <w:rFonts w:ascii="仿宋_GB2312" w:hAnsi="仿宋_GB2312" w:eastAsia="仿宋_GB2312"/>
          <w:color w:val="auto"/>
          <w:sz w:val="32"/>
          <w:szCs w:val="32"/>
          <w:u w:val="none"/>
        </w:rPr>
        <w:t>年远景目标</w:t>
      </w:r>
      <w:r>
        <w:rPr>
          <w:rStyle w:val="20"/>
          <w:rFonts w:hint="eastAsia" w:ascii="仿宋_GB2312" w:hAnsi="仿宋_GB2312" w:eastAsia="仿宋_GB2312"/>
          <w:color w:val="auto"/>
          <w:sz w:val="32"/>
          <w:szCs w:val="32"/>
          <w:u w:val="none"/>
        </w:rPr>
        <w:t>》</w:t>
      </w:r>
      <w:r>
        <w:rPr>
          <w:rStyle w:val="20"/>
          <w:rFonts w:hint="eastAsia" w:ascii="仿宋_GB2312" w:hAnsi="仿宋_GB2312" w:eastAsia="仿宋_GB2312" w:cs="Times New Roman"/>
          <w:color w:val="auto"/>
          <w:sz w:val="32"/>
          <w:szCs w:val="32"/>
          <w:u w:val="none"/>
        </w:rPr>
        <w:t>《北京市“十四五”时期教育改革和发展规划（2021-2025年》以及</w:t>
      </w:r>
      <w:r>
        <w:rPr>
          <w:rStyle w:val="20"/>
          <w:rFonts w:ascii="仿宋_GB2312" w:hAnsi="仿宋_GB2312" w:eastAsia="仿宋_GB2312"/>
          <w:color w:val="auto"/>
          <w:sz w:val="32"/>
          <w:szCs w:val="32"/>
          <w:u w:val="none"/>
        </w:rPr>
        <w:t>新闻出版业“十四五”</w:t>
      </w:r>
      <w:r>
        <w:rPr>
          <w:rStyle w:val="20"/>
          <w:rFonts w:hint="eastAsia" w:ascii="仿宋_GB2312" w:hAnsi="仿宋_GB2312" w:eastAsia="仿宋_GB2312"/>
          <w:color w:val="auto"/>
          <w:sz w:val="32"/>
          <w:szCs w:val="32"/>
          <w:u w:val="none"/>
        </w:rPr>
        <w:t>发展</w:t>
      </w:r>
      <w:r>
        <w:rPr>
          <w:rStyle w:val="20"/>
          <w:rFonts w:ascii="仿宋_GB2312" w:hAnsi="仿宋_GB2312" w:eastAsia="仿宋_GB2312"/>
          <w:color w:val="auto"/>
          <w:sz w:val="32"/>
          <w:szCs w:val="32"/>
          <w:u w:val="none"/>
        </w:rPr>
        <w:t>规划、</w:t>
      </w:r>
      <w:r>
        <w:rPr>
          <w:rStyle w:val="20"/>
          <w:rFonts w:hint="eastAsia" w:ascii="仿宋_GB2312" w:hAnsi="仿宋_GB2312" w:eastAsia="仿宋_GB2312"/>
          <w:color w:val="auto"/>
          <w:sz w:val="32"/>
          <w:szCs w:val="32"/>
          <w:u w:val="none"/>
        </w:rPr>
        <w:t>北京印刷学院</w:t>
      </w:r>
      <w:r>
        <w:rPr>
          <w:rStyle w:val="20"/>
          <w:rFonts w:ascii="仿宋_GB2312" w:hAnsi="仿宋_GB2312" w:eastAsia="仿宋_GB2312"/>
          <w:color w:val="auto"/>
          <w:sz w:val="32"/>
          <w:szCs w:val="32"/>
          <w:u w:val="none"/>
        </w:rPr>
        <w:t>第三次党代会报告等相关文件精神，</w:t>
      </w:r>
      <w:r>
        <w:rPr>
          <w:rStyle w:val="20"/>
          <w:rFonts w:hint="eastAsia" w:ascii="仿宋_GB2312" w:hAnsi="仿宋_GB2312" w:eastAsia="仿宋_GB2312"/>
          <w:color w:val="auto"/>
          <w:sz w:val="32"/>
          <w:szCs w:val="32"/>
          <w:u w:val="none"/>
          <w:lang w:eastAsia="zh-CN"/>
        </w:rPr>
        <w:t>落实</w:t>
      </w:r>
      <w:r>
        <w:rPr>
          <w:rStyle w:val="20"/>
          <w:rFonts w:ascii="仿宋_GB2312" w:hAnsi="仿宋_GB2312" w:eastAsia="仿宋_GB2312"/>
          <w:color w:val="auto"/>
          <w:sz w:val="32"/>
          <w:szCs w:val="32"/>
          <w:u w:val="none"/>
        </w:rPr>
        <w:t>北京市委、市政府《关于统筹推进北京市高等教育改革发展的若干意见》《北京市属公办本科高校分类发展方案》等文件要求，结合</w:t>
      </w:r>
      <w:r>
        <w:rPr>
          <w:rStyle w:val="20"/>
          <w:rFonts w:hint="eastAsia" w:ascii="仿宋_GB2312" w:hAnsi="仿宋_GB2312" w:eastAsia="仿宋_GB2312" w:cs="Times New Roman"/>
          <w:color w:val="auto"/>
          <w:sz w:val="32"/>
          <w:szCs w:val="32"/>
          <w:u w:val="none"/>
        </w:rPr>
        <w:t>国家、</w:t>
      </w:r>
      <w:r>
        <w:rPr>
          <w:rStyle w:val="20"/>
          <w:rFonts w:ascii="仿宋_GB2312" w:hAnsi="仿宋_GB2312" w:eastAsia="仿宋_GB2312"/>
          <w:color w:val="auto"/>
          <w:sz w:val="32"/>
          <w:szCs w:val="32"/>
          <w:u w:val="none"/>
        </w:rPr>
        <w:t>北京经济社会和</w:t>
      </w:r>
      <w:r>
        <w:rPr>
          <w:rStyle w:val="20"/>
          <w:rFonts w:hint="eastAsia" w:ascii="仿宋_GB2312" w:hAnsi="仿宋_GB2312" w:eastAsia="仿宋_GB2312" w:cs="Times New Roman"/>
          <w:color w:val="auto"/>
          <w:sz w:val="32"/>
          <w:szCs w:val="32"/>
          <w:u w:val="none"/>
        </w:rPr>
        <w:t>新闻出版业</w:t>
      </w:r>
      <w:r>
        <w:rPr>
          <w:rStyle w:val="20"/>
          <w:rFonts w:ascii="仿宋_GB2312" w:hAnsi="仿宋_GB2312" w:eastAsia="仿宋_GB2312"/>
          <w:color w:val="auto"/>
          <w:sz w:val="32"/>
          <w:szCs w:val="32"/>
          <w:u w:val="none"/>
        </w:rPr>
        <w:t>发展趋势、高等教育发展形势以及学校建设与发展的实际，</w:t>
      </w:r>
      <w:r>
        <w:rPr>
          <w:rStyle w:val="20"/>
          <w:rFonts w:hint="eastAsia" w:ascii="仿宋_GB2312" w:hAnsi="仿宋_GB2312" w:eastAsia="仿宋_GB2312" w:cs="Times New Roman"/>
          <w:color w:val="auto"/>
          <w:sz w:val="32"/>
          <w:szCs w:val="32"/>
          <w:u w:val="none"/>
        </w:rPr>
        <w:t>特</w:t>
      </w:r>
      <w:r>
        <w:rPr>
          <w:rStyle w:val="20"/>
          <w:rFonts w:ascii="仿宋_GB2312" w:hAnsi="仿宋_GB2312" w:eastAsia="仿宋_GB2312"/>
          <w:color w:val="auto"/>
          <w:sz w:val="32"/>
          <w:szCs w:val="32"/>
          <w:u w:val="none"/>
        </w:rPr>
        <w:t>制定本规划。</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baseline"/>
        <w:rPr>
          <w:rStyle w:val="20"/>
          <w:rFonts w:ascii="仿宋_GB2312" w:hAnsi="仿宋_GB2312" w:eastAsia="仿宋_GB2312" w:cs="Times New Roman"/>
          <w:color w:val="auto"/>
          <w:sz w:val="32"/>
          <w:szCs w:val="32"/>
          <w:u w:val="none"/>
        </w:rPr>
      </w:pPr>
      <w:bookmarkStart w:id="0" w:name="_Toc1901"/>
      <w:bookmarkStart w:id="1" w:name="_Toc9112"/>
      <w:r>
        <w:rPr>
          <w:rStyle w:val="20"/>
          <w:rFonts w:ascii="黑体" w:hAnsi="黑体" w:eastAsia="黑体" w:cs="仿宋_GB2312"/>
          <w:b/>
          <w:color w:val="auto"/>
          <w:kern w:val="0"/>
          <w:sz w:val="32"/>
          <w:szCs w:val="32"/>
          <w:u w:val="none"/>
        </w:rPr>
        <w:t>规划期限：</w:t>
      </w:r>
      <w:r>
        <w:rPr>
          <w:rStyle w:val="20"/>
          <w:rFonts w:ascii="仿宋_GB2312" w:hAnsi="仿宋_GB2312" w:eastAsia="仿宋_GB2312" w:cs="Times New Roman"/>
          <w:color w:val="auto"/>
          <w:sz w:val="32"/>
          <w:szCs w:val="32"/>
          <w:u w:val="none"/>
        </w:rPr>
        <w:t>2021—2025年</w:t>
      </w:r>
      <w:bookmarkEnd w:id="0"/>
      <w:bookmarkEnd w:id="1"/>
      <w:bookmarkStart w:id="2" w:name="_Toc31671"/>
      <w:bookmarkStart w:id="3" w:name="_Toc16657"/>
      <w:bookmarkStart w:id="4" w:name="_Toc8918"/>
      <w:bookmarkStart w:id="5" w:name="_Toc26708"/>
      <w:bookmarkStart w:id="6" w:name="_Toc12662"/>
      <w:bookmarkStart w:id="7" w:name="_Toc29702"/>
      <w:bookmarkStart w:id="8" w:name="_Toc3894"/>
      <w:bookmarkStart w:id="9" w:name="_Toc32156"/>
      <w:bookmarkStart w:id="10" w:name="_Toc14065"/>
      <w:bookmarkStart w:id="11" w:name="_Toc10076"/>
      <w:bookmarkStart w:id="12" w:name="_Toc3665"/>
      <w:bookmarkStart w:id="13" w:name="_Toc5891"/>
      <w:bookmarkStart w:id="14" w:name="_Toc8089"/>
      <w:bookmarkStart w:id="15" w:name="_Toc31617"/>
      <w:bookmarkStart w:id="16" w:name="_Toc4869"/>
      <w:bookmarkStart w:id="17" w:name="_Toc14901"/>
      <w:bookmarkStart w:id="18" w:name="_Toc15072"/>
      <w:bookmarkStart w:id="19" w:name="_Toc5826"/>
      <w:bookmarkStart w:id="20" w:name="_Toc6347"/>
      <w:bookmarkStart w:id="21" w:name="_Toc20676"/>
    </w:p>
    <w:p>
      <w:pPr>
        <w:pStyle w:val="2"/>
        <w:pageBreakBefore w:val="0"/>
        <w:widowControl/>
        <w:kinsoku/>
        <w:wordWrap/>
        <w:overflowPunct/>
        <w:topLinePunct w:val="0"/>
        <w:autoSpaceDE/>
        <w:autoSpaceDN/>
        <w:bidi w:val="0"/>
        <w:adjustRightInd/>
        <w:spacing w:line="500" w:lineRule="exact"/>
        <w:jc w:val="center"/>
        <w:textAlignment w:val="baseline"/>
        <w:rPr>
          <w:rFonts w:ascii="黑体" w:hAnsi="黑体" w:eastAsia="黑体" w:cs="黑体"/>
          <w:color w:val="auto"/>
          <w:sz w:val="40"/>
          <w:szCs w:val="40"/>
          <w:u w:val="none"/>
        </w:rPr>
        <w:sectPr>
          <w:footerReference r:id="rId5" w:type="default"/>
          <w:pgSz w:w="11906" w:h="16838"/>
          <w:pgMar w:top="1440" w:right="1800" w:bottom="1440" w:left="1800" w:header="851" w:footer="992" w:gutter="0"/>
          <w:pgNumType w:start="1"/>
          <w:cols w:space="425" w:num="1"/>
          <w:docGrid w:type="lines" w:linePitch="312" w:charSpace="0"/>
        </w:sectPr>
      </w:pPr>
    </w:p>
    <w:p>
      <w:pPr>
        <w:pStyle w:val="2"/>
        <w:spacing w:line="560" w:lineRule="exact"/>
        <w:jc w:val="center"/>
        <w:rPr>
          <w:rFonts w:ascii="黑体" w:hAnsi="黑体" w:eastAsia="黑体" w:cs="黑体"/>
          <w:color w:val="auto"/>
          <w:sz w:val="40"/>
          <w:szCs w:val="40"/>
          <w:u w:val="none"/>
        </w:rPr>
      </w:pPr>
      <w:bookmarkStart w:id="22" w:name="_Toc16170"/>
      <w:r>
        <w:rPr>
          <w:rFonts w:hint="eastAsia" w:ascii="黑体" w:hAnsi="黑体" w:eastAsia="黑体" w:cs="黑体"/>
          <w:color w:val="auto"/>
          <w:sz w:val="40"/>
          <w:szCs w:val="40"/>
          <w:u w:val="none"/>
        </w:rPr>
        <w:t>一、发展基础与</w:t>
      </w:r>
      <w:bookmarkEnd w:id="2"/>
      <w:bookmarkEnd w:id="3"/>
      <w:r>
        <w:rPr>
          <w:rFonts w:hint="eastAsia" w:ascii="黑体" w:hAnsi="黑体" w:eastAsia="黑体" w:cs="黑体"/>
          <w:color w:val="auto"/>
          <w:sz w:val="40"/>
          <w:szCs w:val="40"/>
          <w:u w:val="none"/>
        </w:rPr>
        <w:t>形势要求</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spacing w:line="560" w:lineRule="exact"/>
        <w:jc w:val="center"/>
        <w:rPr>
          <w:rStyle w:val="20"/>
          <w:rFonts w:ascii="黑体" w:hAnsi="黑体" w:eastAsia="黑体" w:cs="仿宋_GB2312"/>
          <w:bCs/>
          <w:color w:val="auto"/>
          <w:sz w:val="32"/>
          <w:szCs w:val="32"/>
          <w:u w:val="none"/>
        </w:rPr>
      </w:pP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“十三五”期间，在北京市委</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市政府的领导下，在国家新闻出版署的支持下，学校党委团结带领广大师生员工，以习近平新时代中国特色社会主义思想为指导，坚持特色发展，坚持创新驱动，坚持开放办学，围绕立德树人根本任务，聚焦出版传媒全产业链，抢抓机遇，开拓进取，不断优化学科专业布局，强化办学特色和优势，努力培养合格的新时代出版传媒复合应用型人才，</w:t>
      </w:r>
      <w:r>
        <w:rPr>
          <w:rStyle w:val="20"/>
          <w:rFonts w:hint="eastAsia" w:ascii="仿宋_GB2312" w:hAnsi="仿宋_GB2312" w:eastAsia="仿宋_GB2312" w:cs="Times New Roman"/>
          <w:color w:val="auto"/>
          <w:sz w:val="32"/>
          <w:szCs w:val="32"/>
          <w:u w:val="none"/>
        </w:rPr>
        <w:t>圆满</w:t>
      </w:r>
      <w:r>
        <w:rPr>
          <w:rStyle w:val="20"/>
          <w:rFonts w:ascii="仿宋_GB2312" w:hAnsi="仿宋_GB2312" w:eastAsia="仿宋_GB2312"/>
          <w:color w:val="auto"/>
          <w:sz w:val="32"/>
          <w:szCs w:val="32"/>
          <w:u w:val="none"/>
        </w:rPr>
        <w:t>完成“十三五”规划确立的主要目标和建设任务，进一步提升了学校办学实力、发展水平和社会影响力。</w:t>
      </w:r>
    </w:p>
    <w:p>
      <w:pPr>
        <w:pStyle w:val="3"/>
        <w:spacing w:line="560" w:lineRule="exact"/>
        <w:ind w:firstLine="643" w:firstLineChars="200"/>
        <w:rPr>
          <w:rFonts w:ascii="楷体_GB2312" w:hAnsi="楷体_GB2312" w:eastAsia="楷体_GB2312" w:cs="楷体_GB2312"/>
          <w:color w:val="auto"/>
          <w:u w:val="none"/>
        </w:rPr>
      </w:pPr>
      <w:bookmarkStart w:id="23" w:name="_Toc10504"/>
      <w:bookmarkStart w:id="24" w:name="_Toc17313"/>
      <w:bookmarkStart w:id="25" w:name="_Toc4409"/>
      <w:bookmarkStart w:id="26" w:name="_Toc1775"/>
      <w:bookmarkStart w:id="27" w:name="_Toc4432"/>
      <w:bookmarkStart w:id="28" w:name="_Toc13810"/>
      <w:bookmarkStart w:id="29" w:name="_Toc16990"/>
      <w:bookmarkStart w:id="30" w:name="_Toc21301"/>
      <w:bookmarkStart w:id="31" w:name="_Toc14395"/>
      <w:bookmarkStart w:id="32" w:name="_Toc16538"/>
      <w:bookmarkStart w:id="33" w:name="_Toc24791"/>
      <w:bookmarkStart w:id="34" w:name="_Toc31723"/>
      <w:bookmarkStart w:id="35" w:name="_Toc3509"/>
      <w:bookmarkStart w:id="36" w:name="_Toc16661"/>
      <w:bookmarkStart w:id="37" w:name="_Toc12813"/>
      <w:bookmarkStart w:id="38" w:name="_Toc11729"/>
      <w:bookmarkStart w:id="39" w:name="_Toc25340"/>
      <w:bookmarkStart w:id="40" w:name="_Toc20888"/>
      <w:bookmarkStart w:id="41" w:name="_Toc21564"/>
      <w:bookmarkStart w:id="42" w:name="_Toc18905"/>
      <w:bookmarkStart w:id="43" w:name="_Toc26219"/>
      <w:r>
        <w:rPr>
          <w:rFonts w:hint="eastAsia" w:ascii="楷体_GB2312" w:hAnsi="楷体_GB2312" w:eastAsia="楷体_GB2312" w:cs="楷体_GB2312"/>
          <w:color w:val="auto"/>
          <w:u w:val="none"/>
        </w:rPr>
        <w:t>（一）“十三五”建设取得的主要成绩</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学校发展深刻转型。</w:t>
      </w:r>
      <w:r>
        <w:rPr>
          <w:rStyle w:val="20"/>
          <w:rFonts w:hint="eastAsia" w:ascii="仿宋_GB2312" w:hAnsi="仿宋_GB2312" w:eastAsia="仿宋_GB2312" w:cs="Times New Roman"/>
          <w:color w:val="auto"/>
          <w:sz w:val="32"/>
          <w:szCs w:val="32"/>
          <w:u w:val="none"/>
          <w:lang w:eastAsia="zh-CN"/>
        </w:rPr>
        <w:t>十三五期间，学校</w:t>
      </w:r>
      <w:r>
        <w:rPr>
          <w:rStyle w:val="20"/>
          <w:rFonts w:ascii="仿宋_GB2312" w:hAnsi="仿宋_GB2312" w:eastAsia="仿宋_GB2312"/>
          <w:color w:val="auto"/>
          <w:sz w:val="32"/>
          <w:szCs w:val="32"/>
          <w:u w:val="none"/>
        </w:rPr>
        <w:t>贯彻落实习近平总书记关于教育的重要论述和全国高校思想政治工作会议、全国教育大会精神，全面贯彻党的教育方针，坚持为党育人、为国育才，坚持思想政治引领，凝聚发展共识，主动适应</w:t>
      </w:r>
      <w:r>
        <w:rPr>
          <w:rStyle w:val="20"/>
          <w:rFonts w:hint="eastAsia" w:ascii="仿宋_GB2312" w:hAnsi="仿宋_GB2312" w:eastAsia="仿宋_GB2312"/>
          <w:color w:val="auto"/>
          <w:sz w:val="32"/>
          <w:szCs w:val="32"/>
          <w:u w:val="none"/>
        </w:rPr>
        <w:t>国家文化强国建设重大战略、</w:t>
      </w:r>
      <w:r>
        <w:rPr>
          <w:rStyle w:val="20"/>
          <w:rFonts w:ascii="仿宋_GB2312" w:hAnsi="仿宋_GB2312" w:eastAsia="仿宋_GB2312"/>
          <w:color w:val="auto"/>
          <w:sz w:val="32"/>
          <w:szCs w:val="32"/>
          <w:u w:val="none"/>
        </w:rPr>
        <w:t>首都功能定位调整和新闻出版业发展新形势新要求，优化顶层设计，走内涵式发展道路，在办学思路上注重从以专业为主体向以学科为引领转变；在人才培养模式上注重从技术应用型向复合应用型转变；在服务面向上注重以服务</w:t>
      </w:r>
      <w:r>
        <w:rPr>
          <w:rStyle w:val="20"/>
          <w:rFonts w:hint="eastAsia" w:ascii="仿宋_GB2312" w:hAnsi="仿宋_GB2312" w:eastAsia="仿宋_GB2312"/>
          <w:color w:val="auto"/>
          <w:sz w:val="32"/>
          <w:szCs w:val="32"/>
          <w:u w:val="none"/>
        </w:rPr>
        <w:t>国家</w:t>
      </w:r>
      <w:r>
        <w:rPr>
          <w:rStyle w:val="20"/>
          <w:rFonts w:ascii="仿宋_GB2312" w:hAnsi="仿宋_GB2312" w:eastAsia="仿宋_GB2312"/>
          <w:color w:val="auto"/>
          <w:sz w:val="32"/>
          <w:szCs w:val="32"/>
          <w:u w:val="none"/>
        </w:rPr>
        <w:t>新闻出版业为主</w:t>
      </w:r>
      <w:r>
        <w:rPr>
          <w:rStyle w:val="20"/>
          <w:rFonts w:hint="eastAsia" w:ascii="仿宋_GB2312" w:hAnsi="仿宋_GB2312" w:eastAsia="仿宋_GB2312"/>
          <w:color w:val="auto"/>
          <w:sz w:val="32"/>
          <w:szCs w:val="32"/>
          <w:u w:val="none"/>
        </w:rPr>
        <w:t>向</w:t>
      </w:r>
      <w:r>
        <w:rPr>
          <w:rStyle w:val="20"/>
          <w:rFonts w:ascii="仿宋_GB2312" w:hAnsi="仿宋_GB2312" w:eastAsia="仿宋_GB2312"/>
          <w:color w:val="auto"/>
          <w:sz w:val="32"/>
          <w:szCs w:val="32"/>
          <w:u w:val="none"/>
        </w:rPr>
        <w:t>服务北京与服务行业并重转变。办学思路更加清晰，办学定位更加准确，学校发展特色更加鲜明。</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学科专业建设实现新突破。</w:t>
      </w:r>
      <w:r>
        <w:rPr>
          <w:rStyle w:val="20"/>
          <w:rFonts w:ascii="仿宋_GB2312" w:hAnsi="仿宋_GB2312" w:eastAsia="仿宋_GB2312" w:cs="仿宋_GB2312"/>
          <w:bCs/>
          <w:color w:val="auto"/>
          <w:sz w:val="32"/>
          <w:szCs w:val="32"/>
          <w:u w:val="none"/>
        </w:rPr>
        <w:t>“十三五”期间，</w:t>
      </w:r>
      <w:r>
        <w:rPr>
          <w:rStyle w:val="20"/>
          <w:rFonts w:hint="eastAsia" w:ascii="仿宋_GB2312" w:hAnsi="仿宋_GB2312" w:eastAsia="仿宋_GB2312" w:cs="仿宋_GB2312"/>
          <w:bCs/>
          <w:color w:val="auto"/>
          <w:sz w:val="32"/>
          <w:szCs w:val="32"/>
          <w:u w:val="none"/>
          <w:lang w:eastAsia="zh-CN"/>
        </w:rPr>
        <w:t>学校</w:t>
      </w:r>
      <w:r>
        <w:rPr>
          <w:rStyle w:val="20"/>
          <w:rFonts w:ascii="仿宋_GB2312" w:hAnsi="仿宋_GB2312" w:eastAsia="仿宋_GB2312"/>
          <w:color w:val="auto"/>
          <w:sz w:val="32"/>
          <w:szCs w:val="32"/>
          <w:u w:val="none"/>
        </w:rPr>
        <w:t>以新闻传播学（出版学）、设计学、轻工技术与工程三大特色学科群为主线的学科体系基本形成，初步构建以优势特色学科为核心的一级学科建设框架；一级学科硕士学位授权点由7个增加到12个，涵盖工、文、艺、管</w:t>
      </w:r>
      <w:r>
        <w:rPr>
          <w:rStyle w:val="20"/>
          <w:rFonts w:hint="eastAsia" w:ascii="仿宋_GB2312" w:hAnsi="仿宋_GB2312" w:eastAsia="仿宋_GB2312"/>
          <w:color w:val="auto"/>
          <w:sz w:val="32"/>
          <w:szCs w:val="32"/>
          <w:u w:val="none"/>
        </w:rPr>
        <w:t>、法、理六</w:t>
      </w:r>
      <w:r>
        <w:rPr>
          <w:rStyle w:val="20"/>
          <w:rFonts w:ascii="仿宋_GB2312" w:hAnsi="仿宋_GB2312" w:eastAsia="仿宋_GB2312"/>
          <w:color w:val="auto"/>
          <w:sz w:val="32"/>
          <w:szCs w:val="32"/>
          <w:u w:val="none"/>
        </w:rPr>
        <w:t>大学科门类，形成专业学位和学术学位协同发展的研究生教育格局；新闻传播学、设计学一级学科入选北京高校高精尖学科建设名单；获批新增博士学位授予立项建设单位和博士学位授权建设学科，与清华大学联合培养博士生；与中国人民大学结对共建新闻传播学学科；设计学、新闻传播学、美术学在2017年</w:t>
      </w:r>
      <w:r>
        <w:rPr>
          <w:rStyle w:val="20"/>
          <w:rFonts w:hint="eastAsia" w:ascii="仿宋_GB2312" w:hAnsi="仿宋_GB2312" w:eastAsia="仿宋_GB2312"/>
          <w:color w:val="auto"/>
          <w:sz w:val="32"/>
          <w:szCs w:val="32"/>
          <w:u w:val="none"/>
          <w:lang w:eastAsia="zh-CN"/>
        </w:rPr>
        <w:t>第四轮</w:t>
      </w:r>
      <w:r>
        <w:rPr>
          <w:rStyle w:val="20"/>
          <w:rFonts w:ascii="仿宋_GB2312" w:hAnsi="仿宋_GB2312" w:eastAsia="仿宋_GB2312"/>
          <w:color w:val="auto"/>
          <w:sz w:val="32"/>
          <w:szCs w:val="32"/>
          <w:u w:val="none"/>
        </w:rPr>
        <w:t>学科评估中取得良好成绩。主动适应北京和行业发展人才需求，优化调整专业结构，本科专业由26个增加到30个，初步构建“特色主干专业群”“特色协同专业群”和“特色支撑专业群”，实现专业集群发展；专业建设水平显著提升，获批国家级一流专业建设点4个，北京市级一流专业建设点3个。</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人才培养质量稳步提高。</w:t>
      </w:r>
      <w:r>
        <w:rPr>
          <w:rStyle w:val="20"/>
          <w:rFonts w:ascii="仿宋_GB2312" w:hAnsi="仿宋_GB2312" w:eastAsia="仿宋_GB2312" w:cs="仿宋_GB2312"/>
          <w:bCs/>
          <w:color w:val="auto"/>
          <w:sz w:val="32"/>
          <w:szCs w:val="32"/>
          <w:u w:val="none"/>
        </w:rPr>
        <w:t>“十三五”期间，学校</w:t>
      </w:r>
      <w:r>
        <w:rPr>
          <w:rStyle w:val="20"/>
          <w:rFonts w:ascii="仿宋_GB2312" w:hAnsi="仿宋_GB2312" w:eastAsia="仿宋_GB2312"/>
          <w:color w:val="auto"/>
          <w:sz w:val="32"/>
          <w:szCs w:val="32"/>
          <w:u w:val="none"/>
        </w:rPr>
        <w:t>坚持人才培养中心地位，设置人才培养特区，开办各类人才培养实验班——毕昇班、韬奋班、国际实验班等，契合行业转型升级，培养拔尖创新人才，初步形成复合应用型人才培养模式；获批教育部新工科建设项目2个，获省部级教学成果奖9项，建成市级校外人才培养基地4个；适应高等教育发展新趋势，探索骨干专业大类招生，京外一本招生扩大到28个省份，学校成为教育部批准的参照“独立设置本科艺术院校招生”的高校，生源质量稳步提升；主办、承办多项有影响力的赛事，学生参加国内外各级各类竞赛，获得省部级以上奖项1000余人次。研究生规模不断扩大，以年均19%的速度持续增加，在校研究生达1260人，研究生规模实现翻番。研究生发表高水平学术论文300余篇，学位论文抽检合格率100%。职业教育与继续教育针对行业需求，不断提升服务社会和行业水平。</w:t>
      </w:r>
    </w:p>
    <w:p>
      <w:pPr>
        <w:spacing w:line="560" w:lineRule="exact"/>
        <w:ind w:firstLine="643" w:firstLineChars="200"/>
        <w:rPr>
          <w:rStyle w:val="20"/>
          <w:rFonts w:ascii="仿宋_GB2312" w:hAnsi="仿宋_GB2312" w:eastAsia="仿宋_GB2312" w:cs="仿宋_GB2312"/>
          <w:bCs/>
          <w:color w:val="auto"/>
          <w:sz w:val="32"/>
          <w:szCs w:val="32"/>
          <w:u w:val="none"/>
        </w:rPr>
      </w:pPr>
      <w:r>
        <w:rPr>
          <w:rStyle w:val="20"/>
          <w:rFonts w:ascii="仿宋_GB2312" w:hAnsi="仿宋_GB2312" w:eastAsia="仿宋_GB2312" w:cs="仿宋_GB2312"/>
          <w:b/>
          <w:bCs/>
          <w:color w:val="auto"/>
          <w:sz w:val="32"/>
          <w:szCs w:val="32"/>
          <w:u w:val="none"/>
        </w:rPr>
        <w:t>科学研究实力明显提升。</w:t>
      </w:r>
      <w:r>
        <w:rPr>
          <w:rStyle w:val="20"/>
          <w:rFonts w:ascii="仿宋_GB2312" w:hAnsi="仿宋_GB2312" w:eastAsia="仿宋_GB2312" w:cs="仿宋_GB2312"/>
          <w:bCs/>
          <w:color w:val="auto"/>
          <w:sz w:val="32"/>
          <w:szCs w:val="32"/>
          <w:u w:val="none"/>
        </w:rPr>
        <w:t>“十三五”期间，学校科研经费达到2.4亿元，获批国家级项目50项，省部级项目105项；获省部级政府奖4项，各类协会奖16项；申请专利460项；SCI检索论文109篇，EI检索论文336篇，CPCI检索论文227篇，CSSCI检索论文83篇，出版学术专著（编著、主编、译著）336部；</w:t>
      </w:r>
      <w:r>
        <w:rPr>
          <w:rStyle w:val="20"/>
          <w:rFonts w:ascii="仿宋_GB2312" w:hAnsi="仿宋_GB2312" w:eastAsia="仿宋_GB2312" w:cs="仿宋_GB2312"/>
          <w:b w:val="0"/>
          <w:bCs/>
          <w:color w:val="auto"/>
          <w:sz w:val="32"/>
          <w:szCs w:val="32"/>
          <w:u w:val="none"/>
        </w:rPr>
        <w:t>新增国家新闻出版广电总局重点实验室2个，省部级重点研究机构达1</w:t>
      </w:r>
      <w:r>
        <w:rPr>
          <w:rStyle w:val="20"/>
          <w:rFonts w:hint="eastAsia" w:ascii="仿宋_GB2312" w:hAnsi="仿宋_GB2312" w:eastAsia="仿宋_GB2312" w:cs="仿宋_GB2312"/>
          <w:b w:val="0"/>
          <w:bCs/>
          <w:color w:val="auto"/>
          <w:sz w:val="32"/>
          <w:szCs w:val="32"/>
          <w:u w:val="none"/>
          <w:lang w:val="en-US" w:eastAsia="zh-CN"/>
        </w:rPr>
        <w:t>2</w:t>
      </w:r>
      <w:r>
        <w:rPr>
          <w:rStyle w:val="20"/>
          <w:rFonts w:ascii="仿宋_GB2312" w:hAnsi="仿宋_GB2312" w:eastAsia="仿宋_GB2312" w:cs="仿宋_GB2312"/>
          <w:b w:val="0"/>
          <w:bCs/>
          <w:color w:val="auto"/>
          <w:sz w:val="32"/>
          <w:szCs w:val="32"/>
          <w:u w:val="none"/>
        </w:rPr>
        <w:t>个</w:t>
      </w:r>
      <w:r>
        <w:rPr>
          <w:rStyle w:val="20"/>
          <w:rFonts w:ascii="仿宋_GB2312" w:hAnsi="仿宋_GB2312" w:eastAsia="仿宋_GB2312" w:cs="仿宋_GB2312"/>
          <w:bCs/>
          <w:color w:val="auto"/>
          <w:sz w:val="32"/>
          <w:szCs w:val="32"/>
          <w:u w:val="none"/>
        </w:rPr>
        <w:t>；</w:t>
      </w:r>
      <w:r>
        <w:rPr>
          <w:rStyle w:val="20"/>
          <w:rFonts w:hint="eastAsia" w:ascii="仿宋_GB2312" w:hAnsi="仿宋_GB2312" w:eastAsia="仿宋_GB2312" w:cs="仿宋_GB2312"/>
          <w:bCs/>
          <w:color w:val="auto"/>
          <w:sz w:val="32"/>
          <w:szCs w:val="32"/>
          <w:u w:val="none"/>
        </w:rPr>
        <w:t>主持</w:t>
      </w:r>
      <w:r>
        <w:rPr>
          <w:rStyle w:val="20"/>
          <w:rFonts w:ascii="仿宋_GB2312" w:hAnsi="仿宋_GB2312" w:eastAsia="仿宋_GB2312" w:cs="仿宋_GB2312"/>
          <w:bCs/>
          <w:color w:val="auto"/>
          <w:sz w:val="32"/>
          <w:szCs w:val="32"/>
          <w:u w:val="none"/>
        </w:rPr>
        <w:t>制定相关标准23项。</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师资队伍进一步优化。</w:t>
      </w:r>
      <w:r>
        <w:rPr>
          <w:rStyle w:val="20"/>
          <w:rFonts w:ascii="仿宋_GB2312" w:hAnsi="仿宋_GB2312" w:eastAsia="仿宋_GB2312"/>
          <w:color w:val="auto"/>
          <w:sz w:val="32"/>
          <w:szCs w:val="32"/>
          <w:u w:val="none"/>
        </w:rPr>
        <w:t>“十三五”期间，</w:t>
      </w:r>
      <w:r>
        <w:rPr>
          <w:rStyle w:val="20"/>
          <w:rFonts w:hint="eastAsia" w:ascii="仿宋_GB2312" w:hAnsi="仿宋_GB2312" w:eastAsia="仿宋_GB2312"/>
          <w:color w:val="auto"/>
          <w:sz w:val="32"/>
          <w:szCs w:val="32"/>
          <w:u w:val="none"/>
          <w:lang w:eastAsia="zh-CN"/>
        </w:rPr>
        <w:t>学校</w:t>
      </w:r>
      <w:r>
        <w:rPr>
          <w:rStyle w:val="20"/>
          <w:rFonts w:ascii="仿宋_GB2312" w:hAnsi="仿宋_GB2312" w:eastAsia="仿宋_GB2312"/>
          <w:color w:val="auto"/>
          <w:sz w:val="32"/>
          <w:szCs w:val="32"/>
          <w:u w:val="none"/>
        </w:rPr>
        <w:t>按照“控制总量、优化结构、统筹兼顾、引育结合”的原则，学校引进博士教师80余人。专任教师中，具有博士学位的比例由33%提高到50.5%，达255人，具有高级专业技术职务的比例由51%提高到52.67%，达266人；聘用40余名企业高级工程技术和管理人员为兼职教授；获国务院政府特殊津贴3人，北京市长城学者2人，拔尖创新人才4人，全国出版行业领军人才1人，北京市“四个一批”人才1人</w:t>
      </w:r>
      <w:r>
        <w:rPr>
          <w:rStyle w:val="20"/>
          <w:rFonts w:ascii="仿宋_GB2312" w:hAnsi="仿宋_GB2312" w:eastAsia="仿宋_GB2312" w:cs="仿宋_GB2312"/>
          <w:bCs/>
          <w:color w:val="auto"/>
          <w:sz w:val="32"/>
          <w:szCs w:val="32"/>
          <w:u w:val="none"/>
        </w:rPr>
        <w:t>；</w:t>
      </w:r>
      <w:r>
        <w:rPr>
          <w:rStyle w:val="20"/>
          <w:rFonts w:ascii="仿宋_GB2312" w:hAnsi="仿宋_GB2312" w:eastAsia="仿宋_GB2312"/>
          <w:color w:val="auto"/>
          <w:sz w:val="32"/>
          <w:szCs w:val="32"/>
          <w:u w:val="none"/>
        </w:rPr>
        <w:t>发挥教师发展中心作用，引导、培养和提高教师教学技能水平，获评北京市教学名师5人次，北京高校青年教师教学基本功比赛获奖4人次；获北京市师德先锋2人次、三八红旗手1人次；北京市博士后科研工作站培养博士后44人，8人获中国博士后科学基金面上资助，20人获北京市博士后科研活动项目资助。</w:t>
      </w:r>
    </w:p>
    <w:p>
      <w:pPr>
        <w:pageBreakBefore w:val="0"/>
        <w:widowControl/>
        <w:kinsoku/>
        <w:wordWrap/>
        <w:overflowPunct/>
        <w:topLinePunct w:val="0"/>
        <w:autoSpaceDE/>
        <w:autoSpaceDN/>
        <w:bidi w:val="0"/>
        <w:adjustRightInd/>
        <w:spacing w:line="560" w:lineRule="exact"/>
        <w:ind w:firstLine="643" w:firstLineChars="200"/>
        <w:textAlignment w:val="baseline"/>
        <w:rPr>
          <w:rStyle w:val="20"/>
          <w:rFonts w:ascii="仿宋_GB2312" w:hAnsi="仿宋_GB2312" w:eastAsia="仿宋_GB2312" w:cs="仿宋_GB2312"/>
          <w:bCs/>
          <w:color w:val="auto"/>
          <w:sz w:val="32"/>
          <w:szCs w:val="32"/>
          <w:u w:val="none"/>
        </w:rPr>
      </w:pPr>
      <w:r>
        <w:rPr>
          <w:rStyle w:val="20"/>
          <w:rFonts w:ascii="仿宋_GB2312" w:hAnsi="仿宋_GB2312" w:eastAsia="仿宋_GB2312" w:cs="仿宋_GB2312"/>
          <w:b/>
          <w:bCs/>
          <w:color w:val="auto"/>
          <w:sz w:val="32"/>
          <w:szCs w:val="32"/>
          <w:u w:val="none"/>
        </w:rPr>
        <w:t>服务社会能力明显提高。</w:t>
      </w:r>
      <w:r>
        <w:rPr>
          <w:rStyle w:val="20"/>
          <w:rFonts w:ascii="仿宋_GB2312" w:hAnsi="仿宋_GB2312" w:eastAsia="仿宋_GB2312"/>
          <w:color w:val="auto"/>
          <w:sz w:val="32"/>
          <w:szCs w:val="32"/>
          <w:u w:val="none"/>
        </w:rPr>
        <w:t>“十三五”期间，学校</w:t>
      </w:r>
      <w:r>
        <w:rPr>
          <w:rStyle w:val="20"/>
          <w:rFonts w:ascii="仿宋_GB2312" w:hAnsi="仿宋_GB2312" w:eastAsia="仿宋_GB2312" w:cs="仿宋_GB2312"/>
          <w:bCs/>
          <w:color w:val="auto"/>
          <w:sz w:val="32"/>
          <w:szCs w:val="32"/>
          <w:u w:val="none"/>
        </w:rPr>
        <w:t>坚持</w:t>
      </w:r>
      <w:r>
        <w:rPr>
          <w:rStyle w:val="20"/>
          <w:rFonts w:ascii="仿宋_GB2312" w:hAnsi="仿宋_GB2312" w:eastAsia="仿宋_GB2312"/>
          <w:color w:val="auto"/>
          <w:sz w:val="32"/>
          <w:szCs w:val="32"/>
          <w:u w:val="none"/>
        </w:rPr>
        <w:t>扎根行业，服务首都和国家重大需求，牵头成立中国印刷高等教育联盟和出版专业教育联盟，主持制定印刷出版行业国际标准，连年发布《实施绿色印刷成果报告》，承担“数字复合出版系统工程”等重大项目，编制《北京市出版物印刷服务首都核心功能建设升级指南》《长三角区域印刷业一体化发展升级指南》；完成新中国成立70周年大会</w:t>
      </w:r>
      <w:r>
        <w:rPr>
          <w:rStyle w:val="20"/>
          <w:rFonts w:hint="eastAsia" w:ascii="仿宋_GB2312" w:hAnsi="仿宋_GB2312" w:eastAsia="仿宋_GB2312"/>
          <w:color w:val="auto"/>
          <w:sz w:val="32"/>
          <w:szCs w:val="32"/>
          <w:u w:val="none"/>
        </w:rPr>
        <w:t>秩序</w:t>
      </w:r>
      <w:r>
        <w:rPr>
          <w:rStyle w:val="20"/>
          <w:rFonts w:ascii="仿宋_GB2312" w:hAnsi="仿宋_GB2312" w:eastAsia="仿宋_GB2312"/>
          <w:color w:val="auto"/>
          <w:sz w:val="32"/>
          <w:szCs w:val="32"/>
          <w:u w:val="none"/>
        </w:rPr>
        <w:t>册、“金智蓝”“金慧蓝”环卫车辆车身色彩及志愿者服务视觉形象系统设计；建设“一院三园”，形成“北印文创”“北印科创”双亮点，搭建新闻出版业产学研用一体化产业综合体；助力国际文化创意产业博览会、国际科技产业博览会、中国印刷业创新大会、中国设计节、北京文化创意大赛等重大活动，服务北京“</w:t>
      </w:r>
      <w:r>
        <w:rPr>
          <w:rStyle w:val="20"/>
          <w:rFonts w:hint="eastAsia" w:ascii="仿宋_GB2312" w:hAnsi="仿宋_GB2312" w:eastAsia="仿宋_GB2312"/>
          <w:color w:val="auto"/>
          <w:sz w:val="32"/>
          <w:szCs w:val="32"/>
          <w:u w:val="none"/>
        </w:rPr>
        <w:t>全国</w:t>
      </w:r>
      <w:r>
        <w:rPr>
          <w:rStyle w:val="20"/>
          <w:rFonts w:ascii="仿宋_GB2312" w:hAnsi="仿宋_GB2312" w:eastAsia="仿宋_GB2312"/>
          <w:color w:val="auto"/>
          <w:sz w:val="32"/>
          <w:szCs w:val="32"/>
          <w:u w:val="none"/>
        </w:rPr>
        <w:t>文化中心”建设战略，充分展现首都高校的价值与担当。</w:t>
      </w:r>
    </w:p>
    <w:p>
      <w:pPr>
        <w:pageBreakBefore w:val="0"/>
        <w:widowControl/>
        <w:kinsoku/>
        <w:wordWrap/>
        <w:overflowPunct/>
        <w:topLinePunct w:val="0"/>
        <w:autoSpaceDE/>
        <w:autoSpaceDN/>
        <w:bidi w:val="0"/>
        <w:adjustRightInd/>
        <w:spacing w:line="560" w:lineRule="exact"/>
        <w:ind w:firstLine="643" w:firstLineChars="200"/>
        <w:textAlignment w:val="baseline"/>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国际教育取得重大突破</w:t>
      </w:r>
      <w:r>
        <w:rPr>
          <w:rStyle w:val="20"/>
          <w:rFonts w:ascii="仿宋_GB2312" w:hAnsi="仿宋_GB2312" w:eastAsia="仿宋_GB2312" w:cs="仿宋_GB2312"/>
          <w:b/>
          <w:bCs/>
          <w:color w:val="auto"/>
          <w:sz w:val="32"/>
          <w:szCs w:val="32"/>
          <w:u w:val="none"/>
        </w:rPr>
        <w:t>。</w:t>
      </w:r>
      <w:r>
        <w:rPr>
          <w:rStyle w:val="20"/>
          <w:rFonts w:ascii="仿宋_GB2312" w:hAnsi="仿宋_GB2312" w:eastAsia="仿宋_GB2312"/>
          <w:color w:val="auto"/>
          <w:sz w:val="32"/>
          <w:szCs w:val="32"/>
          <w:u w:val="none"/>
        </w:rPr>
        <w:t>“十三五”期间，</w:t>
      </w:r>
      <w:r>
        <w:rPr>
          <w:rStyle w:val="20"/>
          <w:rFonts w:hint="eastAsia" w:ascii="仿宋_GB2312" w:hAnsi="仿宋_GB2312" w:eastAsia="仿宋_GB2312"/>
          <w:color w:val="auto"/>
          <w:sz w:val="32"/>
          <w:szCs w:val="32"/>
          <w:u w:val="none"/>
          <w:lang w:eastAsia="zh-CN"/>
        </w:rPr>
        <w:t>学校</w:t>
      </w:r>
      <w:r>
        <w:rPr>
          <w:rStyle w:val="20"/>
          <w:rFonts w:ascii="仿宋_GB2312" w:hAnsi="仿宋_GB2312" w:eastAsia="仿宋_GB2312"/>
          <w:color w:val="auto"/>
          <w:sz w:val="32"/>
          <w:szCs w:val="32"/>
          <w:u w:val="none"/>
        </w:rPr>
        <w:t>响应国家“一带一路”倡议，按照“科学布局、精心安排、规范管理、按需培养、确保导向”的原则，构建国际学生教育教学体系，积极发展留学生教育，在校留学生超过300人；与28所境外合作院校、机构签订各类国际交流与合作协议45项；牵头组织23个国际交流项目，学生出国（境）交流学习占在校生人数的4.2%，进一步拓宽国际合作渠道。</w:t>
      </w:r>
    </w:p>
    <w:p>
      <w:pPr>
        <w:pageBreakBefore w:val="0"/>
        <w:widowControl/>
        <w:kinsoku/>
        <w:wordWrap/>
        <w:overflowPunct/>
        <w:topLinePunct w:val="0"/>
        <w:autoSpaceDE/>
        <w:autoSpaceDN/>
        <w:bidi w:val="0"/>
        <w:adjustRightInd/>
        <w:spacing w:line="560" w:lineRule="exact"/>
        <w:ind w:firstLine="643" w:firstLineChars="200"/>
        <w:textAlignment w:val="baseline"/>
        <w:rPr>
          <w:rStyle w:val="20"/>
          <w:rFonts w:ascii="仿宋_GB2312" w:hAnsi="仿宋_GB2312" w:eastAsia="仿宋_GB2312"/>
          <w:color w:val="auto"/>
          <w:sz w:val="32"/>
          <w:szCs w:val="32"/>
          <w:u w:val="none"/>
        </w:rPr>
      </w:pPr>
      <w:r>
        <w:rPr>
          <w:rStyle w:val="20"/>
          <w:rFonts w:ascii="仿宋_GB2312" w:hAnsi="仿宋_GB2312" w:eastAsia="仿宋_GB2312" w:cs="仿宋_GB2312"/>
          <w:b/>
          <w:bCs/>
          <w:color w:val="auto"/>
          <w:sz w:val="32"/>
          <w:szCs w:val="32"/>
          <w:u w:val="none"/>
        </w:rPr>
        <w:t>育人环境明显改善。</w:t>
      </w:r>
      <w:r>
        <w:rPr>
          <w:rStyle w:val="20"/>
          <w:rFonts w:ascii="仿宋_GB2312" w:hAnsi="仿宋_GB2312" w:eastAsia="仿宋_GB2312"/>
          <w:color w:val="auto"/>
          <w:sz w:val="32"/>
          <w:szCs w:val="32"/>
          <w:u w:val="none"/>
        </w:rPr>
        <w:t>“十三五”期间，</w:t>
      </w:r>
      <w:r>
        <w:rPr>
          <w:rStyle w:val="20"/>
          <w:rFonts w:hint="eastAsia" w:ascii="仿宋_GB2312" w:hAnsi="仿宋_GB2312" w:eastAsia="仿宋_GB2312"/>
          <w:color w:val="auto"/>
          <w:sz w:val="32"/>
          <w:szCs w:val="32"/>
          <w:u w:val="none"/>
          <w:lang w:eastAsia="zh-CN"/>
        </w:rPr>
        <w:t>学校</w:t>
      </w:r>
      <w:r>
        <w:rPr>
          <w:rStyle w:val="20"/>
          <w:rFonts w:ascii="仿宋_GB2312" w:hAnsi="仿宋_GB2312" w:eastAsia="仿宋_GB2312"/>
          <w:color w:val="auto"/>
          <w:sz w:val="32"/>
          <w:szCs w:val="32"/>
          <w:u w:val="none"/>
        </w:rPr>
        <w:t>投入1.04亿元改造环境和基础设施，新实验楼、新创大厦(学术交流中心）、体育看台相继使用，新增建筑面积7.94万平方米；建成智慧教室11间，7个二级学院拥有独立办学空间，新增万元以上教学科研仪器设备3325台，仪器设备总值2.43亿元；投入4千万元加强校园信息化建设，启用办公自动化系统，初步建成数据中心和智慧校园；推进美术馆、校史馆、档案馆建设，举办办学60周年纪念活动，编纂出版《北京印刷学院简史（1958-2018）》，凝</w:t>
      </w:r>
      <w:r>
        <w:rPr>
          <w:rStyle w:val="20"/>
          <w:rFonts w:hint="eastAsia" w:ascii="仿宋_GB2312" w:hAnsi="仿宋_GB2312" w:eastAsia="仿宋_GB2312"/>
          <w:color w:val="auto"/>
          <w:sz w:val="32"/>
          <w:szCs w:val="32"/>
          <w:u w:val="none"/>
        </w:rPr>
        <w:t>炼</w:t>
      </w:r>
      <w:r>
        <w:rPr>
          <w:rStyle w:val="20"/>
          <w:rFonts w:ascii="仿宋_GB2312" w:hAnsi="仿宋_GB2312" w:eastAsia="仿宋_GB2312"/>
          <w:color w:val="auto"/>
          <w:sz w:val="32"/>
          <w:szCs w:val="32"/>
          <w:u w:val="none"/>
        </w:rPr>
        <w:t>形成了“守正出新、笃志敏行”校训，规范校园楼宇标识系统</w:t>
      </w:r>
      <w:r>
        <w:rPr>
          <w:rStyle w:val="20"/>
          <w:rFonts w:hint="eastAsia" w:ascii="仿宋_GB2312" w:hAnsi="仿宋_GB2312" w:eastAsia="仿宋_GB2312"/>
          <w:color w:val="auto"/>
          <w:sz w:val="32"/>
          <w:szCs w:val="32"/>
          <w:u w:val="none"/>
        </w:rPr>
        <w:t>，创新“</w:t>
      </w:r>
      <w:r>
        <w:rPr>
          <w:rFonts w:ascii="仿宋" w:hAnsi="仿宋" w:eastAsia="仿宋" w:cs="宋体"/>
          <w:bCs/>
          <w:color w:val="auto"/>
          <w:kern w:val="2"/>
          <w:sz w:val="32"/>
          <w:szCs w:val="32"/>
          <w:u w:val="none"/>
        </w:rPr>
        <w:t>以</w:t>
      </w:r>
      <w:r>
        <w:rPr>
          <w:rFonts w:hint="eastAsia" w:ascii="仿宋" w:hAnsi="仿宋" w:eastAsia="仿宋" w:cs="宋体"/>
          <w:bCs/>
          <w:color w:val="auto"/>
          <w:kern w:val="2"/>
          <w:sz w:val="32"/>
          <w:szCs w:val="32"/>
          <w:u w:val="none"/>
          <w:lang w:eastAsia="zh-CN"/>
        </w:rPr>
        <w:t>‘</w:t>
      </w:r>
      <w:r>
        <w:rPr>
          <w:rFonts w:ascii="仿宋" w:hAnsi="仿宋" w:eastAsia="仿宋" w:cs="宋体"/>
          <w:bCs/>
          <w:color w:val="auto"/>
          <w:kern w:val="2"/>
          <w:sz w:val="32"/>
          <w:szCs w:val="32"/>
          <w:u w:val="none"/>
        </w:rPr>
        <w:t>书</w:t>
      </w:r>
      <w:r>
        <w:rPr>
          <w:rFonts w:hint="eastAsia" w:ascii="仿宋" w:hAnsi="仿宋" w:eastAsia="仿宋" w:cs="宋体"/>
          <w:bCs/>
          <w:color w:val="auto"/>
          <w:kern w:val="2"/>
          <w:sz w:val="32"/>
          <w:szCs w:val="32"/>
          <w:u w:val="none"/>
          <w:lang w:eastAsia="zh-CN"/>
        </w:rPr>
        <w:t>’</w:t>
      </w:r>
      <w:r>
        <w:rPr>
          <w:rFonts w:ascii="仿宋" w:hAnsi="仿宋" w:eastAsia="仿宋" w:cs="宋体"/>
          <w:bCs/>
          <w:color w:val="auto"/>
          <w:kern w:val="2"/>
          <w:sz w:val="32"/>
          <w:szCs w:val="32"/>
          <w:u w:val="none"/>
        </w:rPr>
        <w:t>载道，立德树人</w:t>
      </w:r>
      <w:r>
        <w:rPr>
          <w:rStyle w:val="20"/>
          <w:rFonts w:hint="eastAsia" w:ascii="仿宋_GB2312" w:hAnsi="仿宋_GB2312" w:eastAsia="仿宋_GB2312"/>
          <w:color w:val="auto"/>
          <w:sz w:val="32"/>
          <w:szCs w:val="32"/>
          <w:u w:val="none"/>
        </w:rPr>
        <w:t>”学生思想政治工作新模式，完善育人机制，提升思政课教育效果，发挥思政课同向同行作用</w:t>
      </w:r>
      <w:r>
        <w:rPr>
          <w:rStyle w:val="20"/>
          <w:rFonts w:ascii="仿宋_GB2312" w:hAnsi="仿宋_GB2312" w:eastAsia="仿宋_GB2312"/>
          <w:color w:val="auto"/>
          <w:sz w:val="32"/>
          <w:szCs w:val="32"/>
          <w:u w:val="none"/>
        </w:rPr>
        <w:t>；开展书记引航、校长有约、艺术节、科技节、体育文化节、读书月等主题活动</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丰富校园文化</w:t>
      </w:r>
      <w:r>
        <w:rPr>
          <w:rStyle w:val="20"/>
          <w:rFonts w:hint="eastAsia" w:ascii="仿宋_GB2312" w:hAnsi="仿宋_GB2312" w:eastAsia="仿宋_GB2312"/>
          <w:color w:val="auto"/>
          <w:sz w:val="32"/>
          <w:szCs w:val="32"/>
          <w:u w:val="none"/>
        </w:rPr>
        <w:t>生活，强化教风学风建设，注重学生创新精神培养，规划二课堂成绩单制度，2018年获得“首都文明校园”称号</w:t>
      </w:r>
      <w:r>
        <w:rPr>
          <w:rStyle w:val="20"/>
          <w:rFonts w:ascii="仿宋_GB2312" w:hAnsi="仿宋_GB2312" w:eastAsia="仿宋_GB2312"/>
          <w:color w:val="auto"/>
          <w:sz w:val="32"/>
          <w:szCs w:val="32"/>
          <w:u w:val="none"/>
        </w:rPr>
        <w:t>。</w:t>
      </w:r>
    </w:p>
    <w:p>
      <w:pPr>
        <w:pageBreakBefore w:val="0"/>
        <w:widowControl/>
        <w:kinsoku/>
        <w:wordWrap/>
        <w:overflowPunct/>
        <w:topLinePunct w:val="0"/>
        <w:autoSpaceDE/>
        <w:autoSpaceDN/>
        <w:bidi w:val="0"/>
        <w:adjustRightInd/>
        <w:snapToGrid w:val="0"/>
        <w:spacing w:line="560" w:lineRule="exact"/>
        <w:ind w:firstLine="643" w:firstLineChars="200"/>
        <w:textAlignment w:val="baseline"/>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体制机制改革不断深化。</w:t>
      </w:r>
      <w:r>
        <w:rPr>
          <w:rStyle w:val="20"/>
          <w:rFonts w:hint="eastAsia" w:ascii="仿宋_GB2312" w:hAnsi="仿宋_GB2312" w:eastAsia="仿宋_GB2312" w:cs="Times New Roman"/>
          <w:color w:val="auto"/>
          <w:sz w:val="32"/>
          <w:szCs w:val="32"/>
          <w:u w:val="none"/>
          <w:lang w:eastAsia="zh-CN"/>
        </w:rPr>
        <w:t>十三五期间，学校</w:t>
      </w:r>
      <w:r>
        <w:rPr>
          <w:rStyle w:val="20"/>
          <w:rFonts w:ascii="仿宋_GB2312" w:hAnsi="仿宋_GB2312" w:eastAsia="仿宋_GB2312"/>
          <w:color w:val="auto"/>
          <w:sz w:val="32"/>
          <w:szCs w:val="32"/>
          <w:u w:val="none"/>
        </w:rPr>
        <w:t>成立专项改革工作领导小组，进一步优化组织结构，成立党委教师工作部、党建工作处（巡察办公室），成立新媒体学院、马克思主义学院、职业与继续教育学院；深化人事制度改革，创新用人体制机制，突出岗位管理，实现岗位能上能下岗变薪变；深入收入分配制度改革，加大绩效考核力度，扩大二级学院绩效分配自主权；开通职称评审“直通车”；强化预算管理，完成“1+X”预算拨款机制改革试点；加强部门统筹协调，改进审计管理体制，强化校园精细化管理；完善后勤服务保障机制，管理服务水平不断提高。</w:t>
      </w:r>
    </w:p>
    <w:p>
      <w:pPr>
        <w:pageBreakBefore w:val="0"/>
        <w:widowControl/>
        <w:kinsoku/>
        <w:wordWrap/>
        <w:overflowPunct/>
        <w:topLinePunct w:val="0"/>
        <w:autoSpaceDE/>
        <w:autoSpaceDN/>
        <w:bidi w:val="0"/>
        <w:adjustRightInd/>
        <w:snapToGrid w:val="0"/>
        <w:spacing w:line="560" w:lineRule="exact"/>
        <w:ind w:firstLine="643" w:firstLineChars="200"/>
        <w:textAlignment w:val="baseline"/>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全面从严治党稳步推进。</w:t>
      </w:r>
      <w:r>
        <w:rPr>
          <w:rStyle w:val="20"/>
          <w:rFonts w:hint="eastAsia" w:ascii="仿宋_GB2312" w:hAnsi="仿宋_GB2312" w:eastAsia="仿宋_GB2312" w:cs="Times New Roman"/>
          <w:color w:val="auto"/>
          <w:sz w:val="32"/>
          <w:szCs w:val="32"/>
          <w:u w:val="none"/>
          <w:lang w:eastAsia="zh-CN"/>
        </w:rPr>
        <w:t>十三五期间，学校</w:t>
      </w:r>
      <w:r>
        <w:rPr>
          <w:rStyle w:val="20"/>
          <w:rFonts w:ascii="仿宋_GB2312" w:hAnsi="仿宋_GB2312" w:eastAsia="仿宋_GB2312"/>
          <w:color w:val="auto"/>
          <w:sz w:val="32"/>
          <w:szCs w:val="32"/>
          <w:u w:val="none"/>
        </w:rPr>
        <w:t>坚持党对学校工作的全面领导，以政治建设为统领全面推进党的建设；坚持党委领导下的校长负责制，完善“三重一大”决策机制，深入开展“两学一做”“不忘初心、牢记使命”主题教育，</w:t>
      </w:r>
      <w:r>
        <w:rPr>
          <w:rStyle w:val="20"/>
          <w:rFonts w:hint="eastAsia" w:ascii="仿宋_GB2312" w:hAnsi="仿宋_GB2312" w:eastAsia="仿宋_GB2312"/>
          <w:color w:val="auto"/>
          <w:sz w:val="32"/>
          <w:szCs w:val="32"/>
          <w:u w:val="none"/>
          <w:lang w:eastAsia="zh-CN"/>
        </w:rPr>
        <w:t>接受市委</w:t>
      </w:r>
      <w:r>
        <w:rPr>
          <w:rStyle w:val="20"/>
          <w:rFonts w:ascii="仿宋_GB2312" w:hAnsi="仿宋_GB2312" w:eastAsia="仿宋_GB2312"/>
          <w:color w:val="auto"/>
          <w:sz w:val="32"/>
          <w:szCs w:val="32"/>
          <w:u w:val="none"/>
        </w:rPr>
        <w:t>政治巡视</w:t>
      </w:r>
      <w:r>
        <w:rPr>
          <w:rStyle w:val="20"/>
          <w:rFonts w:hint="eastAsia" w:ascii="仿宋_GB2312" w:hAnsi="仿宋_GB2312" w:eastAsia="仿宋_GB2312"/>
          <w:color w:val="auto"/>
          <w:sz w:val="32"/>
          <w:szCs w:val="32"/>
          <w:u w:val="none"/>
          <w:lang w:eastAsia="zh-CN"/>
        </w:rPr>
        <w:t>，实现</w:t>
      </w:r>
      <w:r>
        <w:rPr>
          <w:rStyle w:val="20"/>
          <w:rFonts w:ascii="仿宋_GB2312" w:hAnsi="仿宋_GB2312" w:eastAsia="仿宋_GB2312"/>
          <w:color w:val="auto"/>
          <w:sz w:val="32"/>
          <w:szCs w:val="32"/>
          <w:u w:val="none"/>
        </w:rPr>
        <w:t>院系级基层党组织巡察</w:t>
      </w:r>
      <w:r>
        <w:rPr>
          <w:rStyle w:val="20"/>
          <w:rFonts w:hint="eastAsia" w:ascii="仿宋_GB2312" w:hAnsi="仿宋_GB2312" w:eastAsia="仿宋_GB2312"/>
          <w:color w:val="auto"/>
          <w:sz w:val="32"/>
          <w:szCs w:val="32"/>
          <w:u w:val="none"/>
          <w:lang w:eastAsia="zh-CN"/>
        </w:rPr>
        <w:t>全覆盖</w:t>
      </w:r>
      <w:r>
        <w:rPr>
          <w:rStyle w:val="20"/>
          <w:rFonts w:ascii="仿宋_GB2312" w:hAnsi="仿宋_GB2312" w:eastAsia="仿宋_GB2312"/>
          <w:color w:val="auto"/>
          <w:sz w:val="32"/>
          <w:szCs w:val="32"/>
          <w:u w:val="none"/>
        </w:rPr>
        <w:t>；强化思想引领，建好意识形态主阵地，实施“强基固本”工程，基层党组织创造力凝聚力和战斗力进一步增强；激励干部担当作为，干部选拔任用、教育培训和管理监督工作进一步制度化规范化，领导班子和领导干部治校理教能力进一步提高；坚持党对统战工作的全面领导，推进群团离退休干部工作；加强党章党规党纪教育，坚持持之以恒正风肃纪，持续推进全面从严治党不断深入。</w:t>
      </w:r>
    </w:p>
    <w:p>
      <w:pPr>
        <w:pageBreakBefore w:val="0"/>
        <w:widowControl/>
        <w:kinsoku/>
        <w:wordWrap/>
        <w:overflowPunct/>
        <w:topLinePunct w:val="0"/>
        <w:autoSpaceDE/>
        <w:autoSpaceDN/>
        <w:bidi w:val="0"/>
        <w:adjustRightInd/>
        <w:spacing w:line="560" w:lineRule="exact"/>
        <w:ind w:firstLine="640" w:firstLineChars="200"/>
        <w:textAlignment w:val="baseline"/>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五年来，在学校党委</w:t>
      </w:r>
      <w:r>
        <w:rPr>
          <w:rStyle w:val="20"/>
          <w:rFonts w:hint="eastAsia" w:ascii="仿宋_GB2312" w:hAnsi="仿宋_GB2312" w:eastAsia="仿宋_GB2312"/>
          <w:color w:val="auto"/>
          <w:sz w:val="32"/>
          <w:szCs w:val="32"/>
          <w:u w:val="none"/>
        </w:rPr>
        <w:t>的</w:t>
      </w:r>
      <w:r>
        <w:rPr>
          <w:rStyle w:val="20"/>
          <w:rFonts w:ascii="仿宋_GB2312" w:hAnsi="仿宋_GB2312" w:eastAsia="仿宋_GB2312"/>
          <w:color w:val="auto"/>
          <w:sz w:val="32"/>
          <w:szCs w:val="32"/>
          <w:u w:val="none"/>
        </w:rPr>
        <w:t>坚强领导下，通过全体师生员工的共同努力，学校办学取得显著进步</w:t>
      </w:r>
      <w:r>
        <w:rPr>
          <w:rStyle w:val="20"/>
          <w:rFonts w:hint="eastAsia" w:ascii="仿宋_GB2312" w:hAnsi="仿宋_GB2312" w:eastAsia="仿宋_GB2312"/>
          <w:color w:val="auto"/>
          <w:sz w:val="32"/>
          <w:szCs w:val="32"/>
          <w:u w:val="none"/>
        </w:rPr>
        <w:t>。五年的成绩来之不易，根本在于习近平总书记关于教育的重要论述在学校落地生根，形成</w:t>
      </w:r>
      <w:r>
        <w:rPr>
          <w:rStyle w:val="20"/>
          <w:rFonts w:hint="eastAsia" w:ascii="仿宋_GB2312" w:hAnsi="仿宋_GB2312" w:eastAsia="仿宋_GB2312" w:cs="Times New Roman"/>
          <w:color w:val="auto"/>
          <w:sz w:val="32"/>
          <w:szCs w:val="32"/>
          <w:u w:val="none"/>
        </w:rPr>
        <w:t>了</w:t>
      </w:r>
      <w:r>
        <w:rPr>
          <w:rStyle w:val="20"/>
          <w:rFonts w:hint="eastAsia" w:ascii="仿宋_GB2312" w:hAnsi="仿宋_GB2312" w:eastAsia="仿宋_GB2312"/>
          <w:color w:val="auto"/>
          <w:sz w:val="32"/>
          <w:szCs w:val="32"/>
          <w:u w:val="none"/>
        </w:rPr>
        <w:t>生动实践。我们始终坚持落实立德树人根本任务，全面推进“三全育人”综合改革，将思想政治工作融入教育教学全过程；始终坚持以师生为中心，努力破解师生关心的热点难点问题；始终坚持以改革创新为根本动力，持续推进学校治理体系和治理能力现代化；始终坚持把服务首都“四个中心”功能建设作为根本职责，为北京和行业发展提供有力的人才保障和智力支持。学校正在</w:t>
      </w:r>
      <w:r>
        <w:rPr>
          <w:rStyle w:val="20"/>
          <w:rFonts w:hint="eastAsia" w:ascii="仿宋_GB2312" w:hAnsi="仿宋_GB2312" w:eastAsia="仿宋_GB2312" w:cs="Times New Roman"/>
          <w:color w:val="auto"/>
          <w:sz w:val="32"/>
          <w:szCs w:val="32"/>
          <w:u w:val="none"/>
        </w:rPr>
        <w:t>实现</w:t>
      </w:r>
      <w:r>
        <w:rPr>
          <w:rStyle w:val="20"/>
          <w:rFonts w:hint="eastAsia" w:ascii="仿宋_GB2312" w:hAnsi="仿宋_GB2312" w:eastAsia="仿宋_GB2312"/>
          <w:color w:val="auto"/>
          <w:sz w:val="32"/>
          <w:szCs w:val="32"/>
          <w:u w:val="none"/>
        </w:rPr>
        <w:t>深刻转型，教育面貌</w:t>
      </w:r>
      <w:r>
        <w:rPr>
          <w:rStyle w:val="20"/>
          <w:rFonts w:hint="eastAsia" w:ascii="仿宋_GB2312" w:hAnsi="仿宋_GB2312" w:eastAsia="仿宋_GB2312" w:cs="Times New Roman"/>
          <w:color w:val="auto"/>
          <w:sz w:val="32"/>
          <w:szCs w:val="32"/>
          <w:u w:val="none"/>
        </w:rPr>
        <w:t>发生了显著</w:t>
      </w:r>
      <w:r>
        <w:rPr>
          <w:rStyle w:val="20"/>
          <w:rFonts w:hint="eastAsia" w:ascii="仿宋_GB2312" w:hAnsi="仿宋_GB2312" w:eastAsia="仿宋_GB2312"/>
          <w:color w:val="auto"/>
          <w:sz w:val="32"/>
          <w:szCs w:val="32"/>
          <w:u w:val="none"/>
        </w:rPr>
        <w:t>变化，为“十四五”时期开启高水平特色发展新征程奠定了坚实基础，学校事业发展站在了新的历史起点上。</w:t>
      </w:r>
    </w:p>
    <w:p>
      <w:pPr>
        <w:pStyle w:val="3"/>
        <w:pageBreakBefore w:val="0"/>
        <w:widowControl/>
        <w:kinsoku/>
        <w:wordWrap/>
        <w:overflowPunct/>
        <w:topLinePunct w:val="0"/>
        <w:autoSpaceDE/>
        <w:autoSpaceDN/>
        <w:bidi w:val="0"/>
        <w:adjustRightInd/>
        <w:spacing w:line="560" w:lineRule="exact"/>
        <w:ind w:firstLine="643" w:firstLineChars="200"/>
        <w:textAlignment w:val="baseline"/>
        <w:rPr>
          <w:rFonts w:ascii="楷体_GB2312" w:hAnsi="楷体_GB2312" w:eastAsia="楷体_GB2312" w:cs="楷体_GB2312"/>
          <w:color w:val="auto"/>
          <w:u w:val="none"/>
        </w:rPr>
      </w:pPr>
      <w:bookmarkStart w:id="44" w:name="_Toc31810"/>
      <w:bookmarkStart w:id="45" w:name="_Toc14813"/>
      <w:bookmarkStart w:id="46" w:name="_Toc24988"/>
      <w:bookmarkStart w:id="47" w:name="_Toc19975"/>
      <w:bookmarkStart w:id="48" w:name="_Toc31685"/>
      <w:bookmarkStart w:id="49" w:name="_Toc16357"/>
      <w:bookmarkStart w:id="50" w:name="_Toc32000"/>
      <w:bookmarkStart w:id="51" w:name="_Toc24000"/>
      <w:bookmarkStart w:id="52" w:name="_Toc19713"/>
      <w:bookmarkStart w:id="53" w:name="_Toc31963"/>
      <w:bookmarkStart w:id="54" w:name="_Toc22670"/>
      <w:bookmarkStart w:id="55" w:name="_Toc2078"/>
      <w:bookmarkStart w:id="56" w:name="_Toc28253"/>
      <w:bookmarkStart w:id="57" w:name="_Toc6747"/>
      <w:bookmarkStart w:id="58" w:name="_Toc21672"/>
      <w:bookmarkStart w:id="59" w:name="_Toc19341"/>
      <w:bookmarkStart w:id="60" w:name="_Toc30785"/>
      <w:bookmarkStart w:id="61" w:name="_Toc12883"/>
      <w:bookmarkStart w:id="62" w:name="_Toc11676"/>
      <w:bookmarkStart w:id="63" w:name="_Toc14292"/>
      <w:bookmarkStart w:id="64" w:name="_Toc2566"/>
      <w:r>
        <w:rPr>
          <w:rFonts w:hint="eastAsia" w:ascii="楷体_GB2312" w:hAnsi="楷体_GB2312" w:eastAsia="楷体_GB2312" w:cs="楷体_GB2312"/>
          <w:color w:val="auto"/>
          <w:u w:val="none"/>
        </w:rPr>
        <w:t>（二）存在的主要问题和不足</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与</w:t>
      </w:r>
      <w:r>
        <w:rPr>
          <w:rStyle w:val="20"/>
          <w:rFonts w:hint="eastAsia" w:ascii="仿宋_GB2312" w:hAnsi="仿宋_GB2312" w:eastAsia="仿宋_GB2312"/>
          <w:color w:val="auto"/>
          <w:sz w:val="32"/>
          <w:szCs w:val="32"/>
          <w:u w:val="none"/>
        </w:rPr>
        <w:t>国家文化强国建设、</w:t>
      </w:r>
      <w:r>
        <w:rPr>
          <w:rStyle w:val="20"/>
          <w:rFonts w:ascii="仿宋_GB2312" w:hAnsi="仿宋_GB2312" w:eastAsia="仿宋_GB2312"/>
          <w:color w:val="auto"/>
          <w:sz w:val="32"/>
          <w:szCs w:val="32"/>
          <w:u w:val="none"/>
        </w:rPr>
        <w:t>北京经济社会发展、新闻出版业发展对高质量人才的迫切需要相比，与建设高水平特色</w:t>
      </w:r>
      <w:r>
        <w:rPr>
          <w:rStyle w:val="20"/>
          <w:rFonts w:hint="eastAsia" w:ascii="仿宋_GB2312" w:hAnsi="仿宋_GB2312" w:eastAsia="仿宋_GB2312"/>
          <w:color w:val="auto"/>
          <w:sz w:val="32"/>
          <w:szCs w:val="32"/>
          <w:u w:val="none"/>
          <w:lang w:eastAsia="zh-CN"/>
        </w:rPr>
        <w:t>型大学</w:t>
      </w:r>
      <w:r>
        <w:rPr>
          <w:rStyle w:val="20"/>
          <w:rFonts w:ascii="仿宋_GB2312" w:hAnsi="仿宋_GB2312" w:eastAsia="仿宋_GB2312"/>
          <w:color w:val="auto"/>
          <w:sz w:val="32"/>
          <w:szCs w:val="32"/>
          <w:u w:val="none"/>
        </w:rPr>
        <w:t>的奋斗目标相比，学校的办学特色还不够鲜明，办学质量和水平还有待提高，事业发展还面临诸多困难和问题，工作中尚存在不足。主要表现在：</w:t>
      </w:r>
    </w:p>
    <w:p>
      <w:pPr>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一是学科整体水平不高，未能取得博士学位授予权，学科竞争力和办学层次亟待提升，结构有待进一步优化，学科特色有待强化；二是以“学生为中心”的教育理念落实不够，人才培养质量不能充分适应北京经济社会和行业转型升级融合发展的需要；三是</w:t>
      </w:r>
      <w:r>
        <w:rPr>
          <w:rStyle w:val="20"/>
          <w:rFonts w:hint="eastAsia" w:ascii="仿宋_GB2312" w:hAnsi="仿宋_GB2312" w:eastAsia="仿宋_GB2312"/>
          <w:color w:val="auto"/>
          <w:sz w:val="32"/>
          <w:szCs w:val="32"/>
          <w:u w:val="none"/>
          <w:lang w:eastAsia="zh-CN"/>
        </w:rPr>
        <w:t>科研</w:t>
      </w:r>
      <w:r>
        <w:rPr>
          <w:rStyle w:val="20"/>
          <w:rFonts w:ascii="仿宋_GB2312" w:hAnsi="仿宋_GB2312" w:eastAsia="仿宋_GB2312"/>
          <w:color w:val="auto"/>
          <w:sz w:val="32"/>
          <w:szCs w:val="32"/>
          <w:u w:val="none"/>
        </w:rPr>
        <w:t>平台优势作用发挥不明显，标志性科研成果缺乏，高水平科研获奖不足，科研成果转化能力较弱，科研水平、</w:t>
      </w:r>
      <w:r>
        <w:rPr>
          <w:rStyle w:val="20"/>
          <w:rFonts w:hint="eastAsia" w:ascii="仿宋_GB2312" w:hAnsi="仿宋_GB2312" w:eastAsia="仿宋_GB2312"/>
          <w:color w:val="auto"/>
          <w:sz w:val="32"/>
          <w:szCs w:val="32"/>
          <w:u w:val="none"/>
          <w:lang w:eastAsia="zh-CN"/>
        </w:rPr>
        <w:t>科研</w:t>
      </w:r>
      <w:r>
        <w:rPr>
          <w:rStyle w:val="20"/>
          <w:rFonts w:ascii="仿宋_GB2312" w:hAnsi="仿宋_GB2312" w:eastAsia="仿宋_GB2312"/>
          <w:color w:val="auto"/>
          <w:sz w:val="32"/>
          <w:szCs w:val="32"/>
          <w:u w:val="none"/>
        </w:rPr>
        <w:t>创新能力和服务北京、服务行业的能力有待</w:t>
      </w:r>
      <w:r>
        <w:rPr>
          <w:rStyle w:val="20"/>
          <w:rFonts w:hint="eastAsia" w:ascii="仿宋_GB2312" w:hAnsi="仿宋_GB2312" w:eastAsia="仿宋_GB2312"/>
          <w:color w:val="auto"/>
          <w:sz w:val="32"/>
          <w:szCs w:val="32"/>
          <w:u w:val="none"/>
        </w:rPr>
        <w:t>进一步</w:t>
      </w:r>
      <w:r>
        <w:rPr>
          <w:rStyle w:val="20"/>
          <w:rFonts w:ascii="仿宋_GB2312" w:hAnsi="仿宋_GB2312" w:eastAsia="仿宋_GB2312"/>
          <w:color w:val="auto"/>
          <w:sz w:val="32"/>
          <w:szCs w:val="32"/>
          <w:u w:val="none"/>
        </w:rPr>
        <w:t>加强；四是高水平领军人才引进工作进展缓慢，高水平教学科研团队建设</w:t>
      </w:r>
      <w:r>
        <w:rPr>
          <w:rStyle w:val="20"/>
          <w:rFonts w:hint="eastAsia" w:ascii="仿宋_GB2312" w:hAnsi="仿宋_GB2312" w:eastAsia="仿宋_GB2312"/>
          <w:color w:val="auto"/>
          <w:sz w:val="32"/>
          <w:szCs w:val="32"/>
          <w:u w:val="none"/>
        </w:rPr>
        <w:t>相对</w:t>
      </w:r>
      <w:r>
        <w:rPr>
          <w:rStyle w:val="20"/>
          <w:rFonts w:ascii="仿宋_GB2312" w:hAnsi="仿宋_GB2312" w:eastAsia="仿宋_GB2312"/>
          <w:color w:val="auto"/>
          <w:sz w:val="32"/>
          <w:szCs w:val="32"/>
          <w:u w:val="none"/>
        </w:rPr>
        <w:t>滞后，师资队伍建设任重道远，有利于优秀人才和团队脱颖而出的环境有待进一步优化；五是留学生教育需要在数量增长基础上重点实现质的提升，与本科、研究生教育衔接融合不够；六是学校发展整体资源短缺，空间资源亟需拓展，多渠道筹措资金保障发展能力不足。</w:t>
      </w:r>
    </w:p>
    <w:p>
      <w:pPr>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以上既是学校“十四五”时期需要继续着力解决的问题，也是促使学校持续发展的动力。对于这些问题，必须认真分析，结合实际，制定对策，有效解决。</w:t>
      </w:r>
    </w:p>
    <w:p>
      <w:pPr>
        <w:pStyle w:val="3"/>
        <w:pageBreakBefore w:val="0"/>
        <w:widowControl/>
        <w:kinsoku/>
        <w:wordWrap/>
        <w:overflowPunct/>
        <w:topLinePunct w:val="0"/>
        <w:autoSpaceDE/>
        <w:autoSpaceDN/>
        <w:bidi w:val="0"/>
        <w:adjustRightInd/>
        <w:spacing w:line="560" w:lineRule="exact"/>
        <w:ind w:firstLine="643" w:firstLineChars="200"/>
        <w:textAlignment w:val="baseline"/>
        <w:rPr>
          <w:rFonts w:ascii="楷体_GB2312" w:hAnsi="楷体_GB2312" w:eastAsia="楷体_GB2312" w:cs="楷体_GB2312"/>
          <w:color w:val="auto"/>
          <w:u w:val="none"/>
        </w:rPr>
      </w:pPr>
      <w:bookmarkStart w:id="65" w:name="_Toc22776"/>
      <w:bookmarkStart w:id="66" w:name="_Toc11845"/>
      <w:bookmarkStart w:id="67" w:name="_Toc18499"/>
      <w:bookmarkStart w:id="68" w:name="_Toc17422"/>
      <w:bookmarkStart w:id="69" w:name="_Toc21912"/>
      <w:bookmarkStart w:id="70" w:name="_Toc21734"/>
      <w:bookmarkStart w:id="71" w:name="_Toc10240"/>
      <w:bookmarkStart w:id="72" w:name="_Toc18409"/>
      <w:bookmarkStart w:id="73" w:name="_Toc9945"/>
      <w:bookmarkStart w:id="74" w:name="_Toc12690"/>
      <w:bookmarkStart w:id="75" w:name="_Toc21257"/>
      <w:bookmarkStart w:id="76" w:name="_Toc4604"/>
      <w:bookmarkStart w:id="77" w:name="_Toc11940"/>
      <w:bookmarkStart w:id="78" w:name="_Toc4362"/>
      <w:bookmarkStart w:id="79" w:name="_Toc4105"/>
      <w:bookmarkStart w:id="80" w:name="_Toc26009"/>
      <w:bookmarkStart w:id="81" w:name="_Toc12383"/>
      <w:bookmarkStart w:id="82" w:name="_Toc21039"/>
      <w:bookmarkStart w:id="83" w:name="_Toc14171"/>
      <w:bookmarkStart w:id="84" w:name="_Toc26483"/>
      <w:bookmarkStart w:id="85" w:name="_Toc344"/>
      <w:r>
        <w:rPr>
          <w:rFonts w:hint="eastAsia" w:ascii="楷体_GB2312" w:hAnsi="楷体_GB2312" w:eastAsia="楷体_GB2312" w:cs="楷体_GB2312"/>
          <w:color w:val="auto"/>
          <w:u w:val="none"/>
        </w:rPr>
        <w:t>（三）面临的形势和</w:t>
      </w:r>
      <w:bookmarkEnd w:id="65"/>
      <w:bookmarkEnd w:id="66"/>
      <w:r>
        <w:rPr>
          <w:rFonts w:hint="eastAsia" w:ascii="楷体_GB2312" w:hAnsi="楷体_GB2312" w:eastAsia="楷体_GB2312" w:cs="楷体_GB2312"/>
          <w:color w:val="auto"/>
          <w:u w:val="none"/>
        </w:rPr>
        <w:t>要求</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pPr>
        <w:pageBreakBefore w:val="0"/>
        <w:widowControl/>
        <w:kinsoku/>
        <w:wordWrap/>
        <w:overflowPunct/>
        <w:topLinePunct w:val="0"/>
        <w:autoSpaceDE/>
        <w:autoSpaceDN/>
        <w:bidi w:val="0"/>
        <w:adjustRightInd/>
        <w:spacing w:line="560" w:lineRule="exact"/>
        <w:ind w:firstLine="643" w:firstLineChars="200"/>
        <w:textAlignment w:val="baseline"/>
        <w:rPr>
          <w:rStyle w:val="20"/>
          <w:rFonts w:ascii="仿宋_GB2312" w:hAnsi="仿宋_GB2312" w:eastAsia="仿宋_GB2312"/>
          <w:color w:val="auto"/>
          <w:sz w:val="32"/>
          <w:szCs w:val="32"/>
          <w:u w:val="none"/>
        </w:rPr>
      </w:pPr>
      <w:r>
        <w:rPr>
          <w:rStyle w:val="20"/>
          <w:rFonts w:ascii="仿宋_GB2312" w:hAnsi="仿宋_GB2312" w:eastAsia="仿宋_GB2312" w:cs="仿宋_GB2312"/>
          <w:b/>
          <w:bCs/>
          <w:color w:val="auto"/>
          <w:sz w:val="32"/>
          <w:szCs w:val="32"/>
          <w:u w:val="none"/>
        </w:rPr>
        <w:t>从党和国家对高等教育的新要求看，</w:t>
      </w:r>
      <w:r>
        <w:rPr>
          <w:rStyle w:val="20"/>
          <w:rFonts w:ascii="仿宋_GB2312" w:hAnsi="仿宋_GB2312" w:eastAsia="仿宋_GB2312"/>
          <w:color w:val="auto"/>
          <w:sz w:val="32"/>
          <w:szCs w:val="32"/>
          <w:u w:val="none"/>
        </w:rPr>
        <w:t>当今世界正经历百年未有之大变局，国际力量对比深刻调整，我国科技领域的国际交流和合作将面临更加复杂严峻的局面，加快提升科学技术自主创新能力的需求更加紧迫。在经济双循环背景下，国家自我造血功能需求进一步增强，高等教育促进社会经济可持续发展重要支撑的战略地位将进一步凸显。《中国教育现代化2035》的颁布实施和全国研究生教育大会的召开，标志着我国教育从“基本现代化”开始向“总体现代化”迈进。中共中央、国务院《深化新时代教育评价改革总体方案》进一步提出，到2035年，基本形成富有时代特征、彰显中国特色、体现世界水平的教育评价体系。当前，高等教育改革面临的新任务体现在：聚焦</w:t>
      </w:r>
      <w:r>
        <w:rPr>
          <w:rStyle w:val="20"/>
          <w:rFonts w:hint="eastAsia" w:ascii="仿宋_GB2312" w:hAnsi="仿宋_GB2312" w:eastAsia="仿宋_GB2312"/>
          <w:color w:val="auto"/>
          <w:sz w:val="32"/>
          <w:szCs w:val="32"/>
          <w:u w:val="none"/>
        </w:rPr>
        <w:t>文化</w:t>
      </w:r>
      <w:r>
        <w:rPr>
          <w:rStyle w:val="20"/>
          <w:rFonts w:ascii="仿宋_GB2312" w:hAnsi="仿宋_GB2312" w:eastAsia="仿宋_GB2312"/>
          <w:color w:val="auto"/>
          <w:sz w:val="32"/>
          <w:szCs w:val="32"/>
          <w:u w:val="none"/>
        </w:rPr>
        <w:t>强国建设</w:t>
      </w:r>
      <w:r>
        <w:rPr>
          <w:rStyle w:val="20"/>
          <w:rFonts w:hint="eastAsia" w:ascii="仿宋_GB2312" w:hAnsi="仿宋_GB2312" w:eastAsia="仿宋_GB2312"/>
          <w:color w:val="auto"/>
          <w:sz w:val="32"/>
          <w:szCs w:val="32"/>
          <w:u w:val="none"/>
        </w:rPr>
        <w:t>重大</w:t>
      </w:r>
      <w:r>
        <w:rPr>
          <w:rStyle w:val="20"/>
          <w:rFonts w:hint="eastAsia" w:ascii="仿宋_GB2312" w:hAnsi="仿宋_GB2312" w:eastAsia="仿宋_GB2312" w:cs="Times New Roman"/>
          <w:color w:val="auto"/>
          <w:sz w:val="32"/>
          <w:szCs w:val="32"/>
          <w:u w:val="none"/>
        </w:rPr>
        <w:t>需</w:t>
      </w:r>
      <w:r>
        <w:rPr>
          <w:rStyle w:val="20"/>
          <w:rFonts w:ascii="仿宋_GB2312" w:hAnsi="仿宋_GB2312" w:eastAsia="仿宋_GB2312"/>
          <w:color w:val="auto"/>
          <w:sz w:val="32"/>
          <w:szCs w:val="32"/>
          <w:u w:val="none"/>
        </w:rPr>
        <w:t>求，建设高质量教育体系；聚焦立德树人根本任务，全面落实中央重大教育改革部署；聚焦社会经济重大需求，全面加强教育支撑经济发展能力；聚焦关键领域重大改革，全面推进教育治理体系和能力现代化；聚焦学习方式变革创新，全面推进信息技术与教育的融合发展。面对新形势新任务新要求，</w:t>
      </w:r>
      <w:r>
        <w:rPr>
          <w:rStyle w:val="20"/>
          <w:rFonts w:hint="eastAsia" w:ascii="仿宋_GB2312" w:hAnsi="仿宋_GB2312" w:eastAsia="仿宋_GB2312" w:cs="Times New Roman"/>
          <w:color w:val="auto"/>
          <w:sz w:val="32"/>
          <w:szCs w:val="32"/>
          <w:u w:val="none"/>
        </w:rPr>
        <w:t>立足行业实际，</w:t>
      </w:r>
      <w:r>
        <w:rPr>
          <w:rStyle w:val="20"/>
          <w:rFonts w:ascii="仿宋_GB2312" w:hAnsi="仿宋_GB2312" w:eastAsia="仿宋_GB2312"/>
          <w:color w:val="auto"/>
          <w:sz w:val="32"/>
          <w:szCs w:val="32"/>
          <w:u w:val="none"/>
        </w:rPr>
        <w:t>建设高水平特色</w:t>
      </w:r>
      <w:r>
        <w:rPr>
          <w:rStyle w:val="20"/>
          <w:rFonts w:hint="eastAsia" w:ascii="仿宋_GB2312" w:hAnsi="仿宋_GB2312" w:eastAsia="仿宋_GB2312"/>
          <w:color w:val="auto"/>
          <w:sz w:val="32"/>
          <w:szCs w:val="32"/>
          <w:u w:val="none"/>
          <w:lang w:eastAsia="zh-CN"/>
        </w:rPr>
        <w:t>型大学</w:t>
      </w:r>
      <w:r>
        <w:rPr>
          <w:rStyle w:val="20"/>
          <w:rFonts w:ascii="仿宋_GB2312" w:hAnsi="仿宋_GB2312" w:eastAsia="仿宋_GB2312"/>
          <w:color w:val="auto"/>
          <w:sz w:val="32"/>
          <w:szCs w:val="32"/>
          <w:u w:val="none"/>
        </w:rPr>
        <w:t>，培养担当民族复兴大任新时代中国出版传媒人才，是我们必须始终坚持的价值取向。</w:t>
      </w:r>
    </w:p>
    <w:p>
      <w:pPr>
        <w:pageBreakBefore w:val="0"/>
        <w:widowControl/>
        <w:kinsoku/>
        <w:wordWrap/>
        <w:overflowPunct/>
        <w:topLinePunct w:val="0"/>
        <w:autoSpaceDE/>
        <w:autoSpaceDN/>
        <w:bidi w:val="0"/>
        <w:adjustRightInd/>
        <w:spacing w:line="560" w:lineRule="exact"/>
        <w:ind w:firstLine="643" w:firstLineChars="200"/>
        <w:textAlignment w:val="baseline"/>
        <w:rPr>
          <w:rStyle w:val="20"/>
          <w:rFonts w:ascii="仿宋_GB2312" w:hAnsi="仿宋_GB2312" w:eastAsia="仿宋_GB2312"/>
          <w:color w:val="auto"/>
          <w:sz w:val="32"/>
          <w:szCs w:val="32"/>
          <w:u w:val="none"/>
        </w:rPr>
      </w:pPr>
      <w:r>
        <w:rPr>
          <w:rStyle w:val="20"/>
          <w:rFonts w:ascii="仿宋_GB2312" w:hAnsi="仿宋_GB2312" w:eastAsia="仿宋_GB2312" w:cs="仿宋_GB2312"/>
          <w:b/>
          <w:bCs/>
          <w:color w:val="auto"/>
          <w:sz w:val="32"/>
          <w:szCs w:val="32"/>
          <w:u w:val="none"/>
        </w:rPr>
        <w:t>从新闻出版业发展新态势看，</w:t>
      </w:r>
      <w:r>
        <w:rPr>
          <w:rStyle w:val="20"/>
          <w:rFonts w:ascii="仿宋_GB2312" w:hAnsi="仿宋_GB2312" w:eastAsia="仿宋_GB2312"/>
          <w:color w:val="auto"/>
          <w:sz w:val="32"/>
          <w:szCs w:val="32"/>
          <w:u w:val="none"/>
        </w:rPr>
        <w:t>党的十九</w:t>
      </w:r>
      <w:r>
        <w:rPr>
          <w:rStyle w:val="20"/>
          <w:rFonts w:ascii="仿宋_GB2312" w:hAnsi="仿宋_GB2312" w:eastAsia="仿宋_GB2312"/>
          <w:color w:val="auto"/>
          <w:kern w:val="0"/>
          <w:sz w:val="32"/>
          <w:szCs w:val="32"/>
          <w:u w:val="none"/>
        </w:rPr>
        <w:t>届五中全会强调，要繁荣发展文化事业和文</w:t>
      </w:r>
      <w:r>
        <w:rPr>
          <w:rStyle w:val="20"/>
          <w:rFonts w:ascii="仿宋_GB2312" w:hAnsi="仿宋_GB2312" w:eastAsia="仿宋_GB2312"/>
          <w:color w:val="auto"/>
          <w:sz w:val="32"/>
          <w:szCs w:val="32"/>
          <w:u w:val="none"/>
        </w:rPr>
        <w:t>化产业，提高</w:t>
      </w:r>
      <w:r>
        <w:rPr>
          <w:rStyle w:val="20"/>
          <w:rFonts w:ascii="仿宋_GB2312" w:hAnsi="仿宋_GB2312" w:eastAsia="仿宋_GB2312"/>
          <w:color w:val="auto"/>
          <w:kern w:val="0"/>
          <w:sz w:val="32"/>
          <w:szCs w:val="32"/>
          <w:u w:val="none"/>
        </w:rPr>
        <w:t>国家文化软实力。新闻</w:t>
      </w:r>
      <w:r>
        <w:rPr>
          <w:rStyle w:val="20"/>
          <w:rFonts w:ascii="仿宋_GB2312" w:hAnsi="仿宋_GB2312" w:eastAsia="仿宋_GB2312"/>
          <w:color w:val="auto"/>
          <w:sz w:val="32"/>
          <w:szCs w:val="32"/>
          <w:u w:val="none"/>
        </w:rPr>
        <w:t>出版</w:t>
      </w:r>
      <w:r>
        <w:rPr>
          <w:rStyle w:val="20"/>
          <w:rFonts w:hint="eastAsia" w:ascii="仿宋_GB2312" w:hAnsi="仿宋_GB2312" w:eastAsia="仿宋_GB2312"/>
          <w:color w:val="auto"/>
          <w:sz w:val="32"/>
          <w:szCs w:val="32"/>
          <w:u w:val="none"/>
        </w:rPr>
        <w:t>业</w:t>
      </w:r>
      <w:r>
        <w:rPr>
          <w:rStyle w:val="20"/>
          <w:rFonts w:ascii="仿宋_GB2312" w:hAnsi="仿宋_GB2312" w:eastAsia="仿宋_GB2312"/>
          <w:color w:val="auto"/>
          <w:sz w:val="32"/>
          <w:szCs w:val="32"/>
          <w:u w:val="none"/>
        </w:rPr>
        <w:t>是文化建设的重要力量，是传播主流思想舆论的重要渠道。全球范围内文化意识形态领域的斗争不断加剧，新兴出版业态广受重视，国家文化强国战略和新闻出版业走出去战略的实施步伐不断加快。“十四五”时期，我国印刷业坚持高质量融合发展方向</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要着力推动品牌战略、重大项目带动战略、园区基地和先进产业集群战略、融合发展战略、走出去战略、人才兴业战略六个方面的战略性任务。出版业</w:t>
      </w:r>
      <w:r>
        <w:rPr>
          <w:rStyle w:val="20"/>
          <w:rFonts w:hint="eastAsia" w:ascii="仿宋_GB2312" w:hAnsi="仿宋_GB2312" w:eastAsia="仿宋_GB2312"/>
          <w:color w:val="auto"/>
          <w:sz w:val="32"/>
          <w:szCs w:val="32"/>
          <w:u w:val="none"/>
        </w:rPr>
        <w:t>聚焦</w:t>
      </w:r>
      <w:r>
        <w:rPr>
          <w:rStyle w:val="20"/>
          <w:rFonts w:ascii="仿宋_GB2312" w:hAnsi="仿宋_GB2312" w:eastAsia="仿宋_GB2312"/>
          <w:color w:val="auto"/>
          <w:sz w:val="32"/>
          <w:szCs w:val="32"/>
          <w:u w:val="none"/>
        </w:rPr>
        <w:t>打好新闻出版业治理体系现代化攻坚战、深化改革攻坚战、融合发展攻坚战、技术创新攻坚战、内容创新攻坚战、高端人才培养攻坚战。作为服务出版传媒全产业链的行业特色高校，</w:t>
      </w:r>
      <w:r>
        <w:rPr>
          <w:rStyle w:val="20"/>
          <w:rFonts w:hint="eastAsia" w:ascii="仿宋_GB2312" w:hAnsi="仿宋_GB2312" w:eastAsia="仿宋_GB2312"/>
          <w:color w:val="auto"/>
          <w:sz w:val="32"/>
          <w:szCs w:val="32"/>
          <w:u w:val="none"/>
        </w:rPr>
        <w:t>学校</w:t>
      </w:r>
      <w:r>
        <w:rPr>
          <w:rStyle w:val="20"/>
          <w:rFonts w:ascii="仿宋_GB2312" w:hAnsi="仿宋_GB2312" w:eastAsia="仿宋_GB2312"/>
          <w:color w:val="auto"/>
          <w:sz w:val="32"/>
          <w:szCs w:val="32"/>
          <w:u w:val="none"/>
        </w:rPr>
        <w:t>建校伊始就承担着为文化传承与传播、印刷技术创新与推广培养专业人才的光荣使命。在大数据、云计算、人工智能、虚拟现实等技术重塑行业发展新格局的背景下，扎根行业，系统梳理新闻出版业发展面临的瓶颈问题，将学科特色和人才培养优势转化为服务行业、引领和推动行业发展的优势，为振兴行业提供“北印方案”</w:t>
      </w:r>
      <w:r>
        <w:rPr>
          <w:rStyle w:val="20"/>
          <w:rFonts w:hint="eastAsia" w:ascii="仿宋_GB2312" w:hAnsi="仿宋_GB2312" w:eastAsia="仿宋_GB2312"/>
          <w:color w:val="auto"/>
          <w:sz w:val="32"/>
          <w:szCs w:val="32"/>
          <w:u w:val="none"/>
        </w:rPr>
        <w:t>并</w:t>
      </w:r>
      <w:r>
        <w:rPr>
          <w:rStyle w:val="20"/>
          <w:rFonts w:ascii="仿宋_GB2312" w:hAnsi="仿宋_GB2312" w:eastAsia="仿宋_GB2312"/>
          <w:color w:val="auto"/>
          <w:sz w:val="32"/>
          <w:szCs w:val="32"/>
          <w:u w:val="none"/>
        </w:rPr>
        <w:t>做出应有贡献，是我们必须始终坚持的责任使命。</w:t>
      </w:r>
    </w:p>
    <w:p>
      <w:pPr>
        <w:pageBreakBefore w:val="0"/>
        <w:widowControl/>
        <w:kinsoku/>
        <w:wordWrap/>
        <w:overflowPunct/>
        <w:topLinePunct w:val="0"/>
        <w:autoSpaceDE/>
        <w:autoSpaceDN/>
        <w:bidi w:val="0"/>
        <w:adjustRightInd/>
        <w:spacing w:line="560" w:lineRule="exact"/>
        <w:ind w:firstLine="643" w:firstLineChars="200"/>
        <w:textAlignment w:val="baseline"/>
        <w:rPr>
          <w:rStyle w:val="20"/>
          <w:rFonts w:ascii="仿宋_GB2312" w:hAnsi="仿宋_GB2312" w:eastAsia="仿宋_GB2312"/>
          <w:color w:val="auto"/>
          <w:sz w:val="32"/>
          <w:szCs w:val="32"/>
          <w:u w:val="none"/>
        </w:rPr>
      </w:pPr>
      <w:r>
        <w:rPr>
          <w:rStyle w:val="20"/>
          <w:rFonts w:ascii="仿宋_GB2312" w:hAnsi="仿宋_GB2312" w:eastAsia="仿宋_GB2312" w:cs="仿宋_GB2312"/>
          <w:b/>
          <w:bCs/>
          <w:color w:val="auto"/>
          <w:sz w:val="32"/>
          <w:szCs w:val="32"/>
          <w:u w:val="none"/>
        </w:rPr>
        <w:t>从首都功能定位和发展新形势看，</w:t>
      </w:r>
      <w:r>
        <w:rPr>
          <w:rStyle w:val="20"/>
          <w:rFonts w:ascii="仿宋_GB2312" w:hAnsi="仿宋_GB2312" w:eastAsia="仿宋_GB2312"/>
          <w:color w:val="auto"/>
          <w:sz w:val="32"/>
          <w:szCs w:val="32"/>
          <w:u w:val="none"/>
        </w:rPr>
        <w:t>北京“十四五”时期经济社会发展定位准确，目标清晰，任务明确，为学校发展带来了</w:t>
      </w:r>
      <w:r>
        <w:rPr>
          <w:rStyle w:val="20"/>
          <w:rFonts w:hint="eastAsia" w:ascii="仿宋_GB2312" w:hAnsi="仿宋_GB2312" w:eastAsia="仿宋_GB2312"/>
          <w:color w:val="auto"/>
          <w:sz w:val="32"/>
          <w:szCs w:val="32"/>
          <w:u w:val="none"/>
        </w:rPr>
        <w:t>宝贵</w:t>
      </w:r>
      <w:r>
        <w:rPr>
          <w:rStyle w:val="20"/>
          <w:rFonts w:ascii="仿宋_GB2312" w:hAnsi="仿宋_GB2312" w:eastAsia="仿宋_GB2312"/>
          <w:color w:val="auto"/>
          <w:sz w:val="32"/>
          <w:szCs w:val="32"/>
          <w:u w:val="none"/>
        </w:rPr>
        <w:t>机遇</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立足北京，精准对接首都功能定位，</w:t>
      </w:r>
      <w:r>
        <w:rPr>
          <w:rStyle w:val="20"/>
          <w:rFonts w:hint="eastAsia" w:ascii="仿宋_GB2312" w:hAnsi="仿宋_GB2312" w:eastAsia="仿宋_GB2312"/>
          <w:color w:val="auto"/>
          <w:sz w:val="32"/>
          <w:szCs w:val="32"/>
          <w:u w:val="none"/>
        </w:rPr>
        <w:t>聚焦北京全国文化中心建设，</w:t>
      </w:r>
      <w:r>
        <w:rPr>
          <w:rStyle w:val="20"/>
          <w:rFonts w:ascii="仿宋_GB2312" w:hAnsi="仿宋_GB2312" w:eastAsia="仿宋_GB2312"/>
          <w:color w:val="auto"/>
          <w:sz w:val="32"/>
          <w:szCs w:val="32"/>
          <w:u w:val="none"/>
        </w:rPr>
        <w:t>聚焦“高精尖”文化产业体系建设，聚焦“书香京城”建设，聚焦文化产业数字化战略，聚焦“文化走出去”战略，聚焦大兴国际机场临空经济区高水平规划建设、雄安新区建设、筹办冬奥会，聚焦市属高校内涵、特色、差异化分类发展，努力把学校已有办学特色和优势转化为服务区域经济社会发展的优势，并在其中有所作为，是我们必须始终坚持的时代担当。</w:t>
      </w:r>
    </w:p>
    <w:p>
      <w:pPr>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20"/>
          <w:rFonts w:ascii="仿宋_GB2312" w:hAnsi="仿宋_GB2312" w:eastAsia="仿宋_GB2312"/>
          <w:color w:val="auto"/>
          <w:kern w:val="0"/>
          <w:sz w:val="32"/>
          <w:szCs w:val="32"/>
          <w:u w:val="none"/>
        </w:rPr>
      </w:pPr>
      <w:r>
        <w:rPr>
          <w:rStyle w:val="20"/>
          <w:rFonts w:hint="eastAsia" w:ascii="仿宋_GB2312" w:hAnsi="仿宋_GB2312" w:eastAsia="仿宋_GB2312"/>
          <w:color w:val="auto"/>
          <w:sz w:val="32"/>
          <w:szCs w:val="32"/>
          <w:u w:val="none"/>
        </w:rPr>
        <w:t>环境和形势的深刻变化，</w:t>
      </w:r>
      <w:r>
        <w:rPr>
          <w:rStyle w:val="20"/>
          <w:rFonts w:hint="eastAsia" w:ascii="仿宋_GB2312" w:hAnsi="仿宋_GB2312" w:eastAsia="仿宋_GB2312"/>
          <w:color w:val="auto"/>
          <w:sz w:val="32"/>
          <w:szCs w:val="32"/>
          <w:u w:val="none"/>
          <w:lang w:eastAsia="zh-CN"/>
        </w:rPr>
        <w:t>为</w:t>
      </w:r>
      <w:r>
        <w:rPr>
          <w:rStyle w:val="20"/>
          <w:rFonts w:hint="eastAsia" w:ascii="仿宋_GB2312" w:hAnsi="仿宋_GB2312" w:eastAsia="仿宋_GB2312"/>
          <w:color w:val="auto"/>
          <w:sz w:val="32"/>
          <w:szCs w:val="32"/>
          <w:u w:val="none"/>
        </w:rPr>
        <w:t>学校发展带来一系列新机遇和新挑战。</w:t>
      </w:r>
      <w:r>
        <w:rPr>
          <w:rStyle w:val="20"/>
          <w:rFonts w:ascii="仿宋_GB2312" w:hAnsi="仿宋_GB2312" w:eastAsia="仿宋_GB2312"/>
          <w:color w:val="auto"/>
          <w:kern w:val="0"/>
          <w:sz w:val="32"/>
          <w:szCs w:val="32"/>
          <w:u w:val="none"/>
        </w:rPr>
        <w:t>今后五年或更长时间，学校将处在一个上层次、上水平的重要发展时期，内外部发展的新形势和新特点为学校提出诸多改革与发展新课题，也是我们持续发展的压力与动力。</w:t>
      </w:r>
      <w:r>
        <w:rPr>
          <w:rStyle w:val="20"/>
          <w:rFonts w:hint="eastAsia" w:ascii="仿宋_GB2312" w:hAnsi="仿宋_GB2312" w:eastAsia="仿宋_GB2312"/>
          <w:color w:val="auto"/>
          <w:sz w:val="32"/>
          <w:szCs w:val="32"/>
          <w:u w:val="none"/>
        </w:rPr>
        <w:t>机遇前所未有，更具战略性、变革性，挑战前所未有，更具紧迫性、艰巨性。</w:t>
      </w:r>
      <w:r>
        <w:rPr>
          <w:rStyle w:val="20"/>
          <w:rFonts w:ascii="仿宋_GB2312" w:hAnsi="仿宋_GB2312" w:eastAsia="仿宋_GB2312"/>
          <w:color w:val="auto"/>
          <w:kern w:val="0"/>
          <w:sz w:val="32"/>
          <w:szCs w:val="32"/>
          <w:u w:val="none"/>
        </w:rPr>
        <w:t>抓住机遇，应对挑战，</w:t>
      </w:r>
      <w:r>
        <w:rPr>
          <w:rStyle w:val="20"/>
          <w:rFonts w:ascii="仿宋_GB2312" w:hAnsi="仿宋_GB2312" w:eastAsia="仿宋_GB2312"/>
          <w:color w:val="auto"/>
          <w:sz w:val="32"/>
          <w:szCs w:val="32"/>
          <w:u w:val="none"/>
        </w:rPr>
        <w:t>突出重点，彰显特色，精准发力，固优固强，加快建设高水平特色</w:t>
      </w:r>
      <w:r>
        <w:rPr>
          <w:rStyle w:val="20"/>
          <w:rFonts w:hint="eastAsia" w:ascii="仿宋_GB2312" w:hAnsi="仿宋_GB2312" w:eastAsia="仿宋_GB2312"/>
          <w:color w:val="auto"/>
          <w:sz w:val="32"/>
          <w:szCs w:val="32"/>
          <w:u w:val="none"/>
          <w:lang w:eastAsia="zh-CN"/>
        </w:rPr>
        <w:t>型大学</w:t>
      </w:r>
      <w:r>
        <w:rPr>
          <w:rStyle w:val="20"/>
          <w:rFonts w:ascii="仿宋_GB2312" w:hAnsi="仿宋_GB2312" w:eastAsia="仿宋_GB2312"/>
          <w:color w:val="auto"/>
          <w:sz w:val="32"/>
          <w:szCs w:val="32"/>
          <w:u w:val="none"/>
        </w:rPr>
        <w:t>，</w:t>
      </w:r>
      <w:r>
        <w:rPr>
          <w:rStyle w:val="20"/>
          <w:rFonts w:ascii="仿宋_GB2312" w:hAnsi="仿宋_GB2312" w:eastAsia="仿宋_GB2312"/>
          <w:color w:val="auto"/>
          <w:kern w:val="0"/>
          <w:sz w:val="32"/>
          <w:szCs w:val="32"/>
          <w:u w:val="none"/>
        </w:rPr>
        <w:t>是我们的艰巨任务和光荣使命。为此，我们必须承前启后、继往开来，</w:t>
      </w:r>
      <w:r>
        <w:rPr>
          <w:rStyle w:val="20"/>
          <w:rFonts w:hint="eastAsia" w:ascii="仿宋_GB2312" w:hAnsi="仿宋_GB2312" w:eastAsia="仿宋_GB2312"/>
          <w:color w:val="auto"/>
          <w:sz w:val="32"/>
          <w:szCs w:val="32"/>
          <w:u w:val="none"/>
        </w:rPr>
        <w:t>完整、准确、全面贯彻创新、协调、绿色、开放、共享的新发展理念，以首善标准</w:t>
      </w:r>
      <w:r>
        <w:rPr>
          <w:rStyle w:val="20"/>
          <w:rFonts w:ascii="仿宋_GB2312" w:hAnsi="仿宋_GB2312" w:eastAsia="仿宋_GB2312"/>
          <w:color w:val="auto"/>
          <w:kern w:val="0"/>
          <w:sz w:val="32"/>
          <w:szCs w:val="32"/>
          <w:u w:val="none"/>
        </w:rPr>
        <w:t>研究新情况</w:t>
      </w:r>
      <w:r>
        <w:rPr>
          <w:rStyle w:val="20"/>
          <w:rFonts w:hint="eastAsia" w:ascii="仿宋_GB2312" w:hAnsi="仿宋_GB2312" w:eastAsia="仿宋_GB2312"/>
          <w:color w:val="auto"/>
          <w:kern w:val="0"/>
          <w:sz w:val="32"/>
          <w:szCs w:val="32"/>
          <w:u w:val="none"/>
        </w:rPr>
        <w:t>，</w:t>
      </w:r>
      <w:r>
        <w:rPr>
          <w:rStyle w:val="20"/>
          <w:rFonts w:ascii="仿宋_GB2312" w:hAnsi="仿宋_GB2312" w:eastAsia="仿宋_GB2312"/>
          <w:color w:val="auto"/>
          <w:kern w:val="0"/>
          <w:sz w:val="32"/>
          <w:szCs w:val="32"/>
          <w:u w:val="none"/>
        </w:rPr>
        <w:t>发现新问题</w:t>
      </w:r>
      <w:r>
        <w:rPr>
          <w:rStyle w:val="20"/>
          <w:rFonts w:hint="eastAsia" w:ascii="仿宋_GB2312" w:hAnsi="仿宋_GB2312" w:eastAsia="仿宋_GB2312"/>
          <w:color w:val="auto"/>
          <w:kern w:val="0"/>
          <w:sz w:val="32"/>
          <w:szCs w:val="32"/>
          <w:u w:val="none"/>
        </w:rPr>
        <w:t>，</w:t>
      </w:r>
      <w:r>
        <w:rPr>
          <w:rStyle w:val="20"/>
          <w:rFonts w:ascii="仿宋_GB2312" w:hAnsi="仿宋_GB2312" w:eastAsia="仿宋_GB2312"/>
          <w:color w:val="auto"/>
          <w:kern w:val="0"/>
          <w:sz w:val="32"/>
          <w:szCs w:val="32"/>
          <w:u w:val="none"/>
        </w:rPr>
        <w:t>进行新规划。</w:t>
      </w:r>
    </w:p>
    <w:p>
      <w:pPr>
        <w:pageBreakBefore w:val="0"/>
        <w:widowControl/>
        <w:kinsoku/>
        <w:wordWrap/>
        <w:overflowPunct/>
        <w:topLinePunct w:val="0"/>
        <w:autoSpaceDE/>
        <w:autoSpaceDN/>
        <w:bidi w:val="0"/>
        <w:adjustRightInd/>
        <w:spacing w:line="560" w:lineRule="exact"/>
        <w:textAlignment w:val="baseline"/>
        <w:rPr>
          <w:rFonts w:ascii="黑体" w:hAnsi="黑体" w:eastAsia="黑体" w:cs="黑体"/>
          <w:b/>
          <w:color w:val="auto"/>
          <w:sz w:val="40"/>
          <w:szCs w:val="40"/>
          <w:u w:val="none"/>
        </w:rPr>
      </w:pPr>
      <w:bookmarkStart w:id="86" w:name="_Toc28774"/>
      <w:bookmarkStart w:id="87" w:name="_Toc19787"/>
      <w:bookmarkStart w:id="88" w:name="_Toc24882"/>
      <w:bookmarkStart w:id="89" w:name="_Toc29858"/>
      <w:bookmarkStart w:id="90" w:name="_Toc23903"/>
      <w:bookmarkStart w:id="91" w:name="_Toc25348"/>
      <w:bookmarkStart w:id="92" w:name="_Toc18465"/>
      <w:bookmarkStart w:id="93" w:name="_Toc27390"/>
      <w:bookmarkStart w:id="94" w:name="_Toc24840"/>
      <w:bookmarkStart w:id="95" w:name="_Toc13822"/>
      <w:bookmarkStart w:id="96" w:name="_Toc16502"/>
      <w:bookmarkStart w:id="97" w:name="_Toc25945"/>
      <w:bookmarkStart w:id="98" w:name="_Toc15601"/>
      <w:bookmarkStart w:id="99" w:name="_Toc20848"/>
      <w:bookmarkStart w:id="100" w:name="_Toc5501"/>
      <w:bookmarkStart w:id="101" w:name="_Toc20938"/>
      <w:bookmarkStart w:id="102" w:name="_Toc9804"/>
      <w:r>
        <w:rPr>
          <w:rFonts w:hint="eastAsia" w:ascii="黑体" w:hAnsi="黑体" w:eastAsia="黑体" w:cs="黑体"/>
          <w:b/>
          <w:color w:val="auto"/>
          <w:sz w:val="40"/>
          <w:szCs w:val="40"/>
          <w:u w:val="none"/>
        </w:rPr>
        <w:br w:type="page"/>
      </w:r>
    </w:p>
    <w:p>
      <w:pPr>
        <w:pStyle w:val="2"/>
        <w:spacing w:line="560" w:lineRule="exact"/>
        <w:jc w:val="center"/>
        <w:rPr>
          <w:rFonts w:ascii="黑体" w:hAnsi="黑体" w:eastAsia="黑体" w:cs="黑体"/>
          <w:color w:val="auto"/>
          <w:sz w:val="40"/>
          <w:szCs w:val="40"/>
          <w:u w:val="none"/>
        </w:rPr>
      </w:pPr>
      <w:bookmarkStart w:id="103" w:name="_Toc13155"/>
      <w:bookmarkStart w:id="104" w:name="_Toc11687"/>
      <w:bookmarkStart w:id="105" w:name="_Toc12231"/>
      <w:bookmarkStart w:id="106" w:name="_Toc8474"/>
      <w:r>
        <w:rPr>
          <w:rFonts w:hint="eastAsia" w:ascii="黑体" w:hAnsi="黑体" w:eastAsia="黑体" w:cs="黑体"/>
          <w:color w:val="auto"/>
          <w:sz w:val="40"/>
          <w:szCs w:val="40"/>
          <w:u w:val="none"/>
        </w:rPr>
        <w:t>二、指导思想和主要目标</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spacing w:line="560" w:lineRule="exact"/>
        <w:jc w:val="center"/>
        <w:rPr>
          <w:rStyle w:val="20"/>
          <w:rFonts w:ascii="黑体" w:hAnsi="黑体" w:eastAsia="黑体"/>
          <w:color w:val="auto"/>
          <w:sz w:val="32"/>
          <w:szCs w:val="32"/>
          <w:u w:val="none"/>
        </w:rPr>
      </w:pPr>
    </w:p>
    <w:p>
      <w:pPr>
        <w:pStyle w:val="3"/>
        <w:spacing w:line="560" w:lineRule="exact"/>
        <w:ind w:firstLine="643" w:firstLineChars="200"/>
        <w:rPr>
          <w:rFonts w:ascii="楷体_GB2312" w:hAnsi="楷体_GB2312" w:eastAsia="楷体_GB2312" w:cs="楷体_GB2312"/>
          <w:color w:val="auto"/>
          <w:u w:val="none"/>
        </w:rPr>
      </w:pPr>
      <w:bookmarkStart w:id="107" w:name="_Toc18731"/>
      <w:bookmarkStart w:id="108" w:name="_Toc27018"/>
      <w:bookmarkStart w:id="109" w:name="_Toc19311"/>
      <w:bookmarkStart w:id="110" w:name="_Toc24707"/>
      <w:bookmarkStart w:id="111" w:name="_Toc27428"/>
      <w:bookmarkStart w:id="112" w:name="_Toc292"/>
      <w:bookmarkStart w:id="113" w:name="_Toc32504"/>
      <w:bookmarkStart w:id="114" w:name="_Toc17695"/>
      <w:bookmarkStart w:id="115" w:name="_Toc19023"/>
      <w:bookmarkStart w:id="116" w:name="_Toc28825"/>
      <w:bookmarkStart w:id="117" w:name="_Toc24209"/>
      <w:bookmarkStart w:id="118" w:name="_Toc20790"/>
      <w:bookmarkStart w:id="119" w:name="_Toc11192"/>
      <w:bookmarkStart w:id="120" w:name="_Toc4235"/>
      <w:bookmarkStart w:id="121" w:name="_Toc30289"/>
      <w:bookmarkStart w:id="122" w:name="_Toc24922"/>
      <w:bookmarkStart w:id="123" w:name="_Toc14840"/>
      <w:bookmarkStart w:id="124" w:name="_Toc25474"/>
      <w:bookmarkStart w:id="125" w:name="_Toc15398"/>
      <w:bookmarkStart w:id="126" w:name="_Toc20650"/>
      <w:bookmarkStart w:id="127" w:name="_Toc26246"/>
      <w:r>
        <w:rPr>
          <w:rFonts w:hint="eastAsia" w:ascii="楷体_GB2312" w:hAnsi="楷体_GB2312" w:eastAsia="楷体_GB2312" w:cs="楷体_GB2312"/>
          <w:color w:val="auto"/>
          <w:u w:val="none"/>
        </w:rPr>
        <w:t>（一）指导思想</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以习近平新时代中国特色社会主义思想为指导，加强党对学校工作的全面领导，全面贯彻党的教育方针，遵循高等教育规律，落实立德树人根本任务，牢记振兴行业使命，做足出版传媒文章，“创意设计、艺工融合”，在做特、做优、做精、做强、做新等方面下功夫。以提高质量为中心，</w:t>
      </w:r>
      <w:r>
        <w:rPr>
          <w:rStyle w:val="20"/>
          <w:rFonts w:hint="eastAsia" w:ascii="仿宋_GB2312" w:hAnsi="仿宋_GB2312" w:eastAsia="仿宋_GB2312"/>
          <w:color w:val="auto"/>
          <w:sz w:val="32"/>
          <w:szCs w:val="32"/>
          <w:u w:val="none"/>
          <w:lang w:eastAsia="zh-CN"/>
        </w:rPr>
        <w:t>全面推进“新工科”“新文科”建设，</w:t>
      </w:r>
      <w:r>
        <w:rPr>
          <w:rStyle w:val="20"/>
          <w:rFonts w:ascii="仿宋_GB2312" w:hAnsi="仿宋_GB2312" w:eastAsia="仿宋_GB2312"/>
          <w:color w:val="auto"/>
          <w:sz w:val="32"/>
          <w:szCs w:val="32"/>
          <w:u w:val="none"/>
        </w:rPr>
        <w:t>优化</w:t>
      </w:r>
      <w:r>
        <w:rPr>
          <w:rStyle w:val="20"/>
          <w:rFonts w:hint="eastAsia" w:ascii="仿宋_GB2312" w:hAnsi="仿宋_GB2312" w:eastAsia="仿宋_GB2312" w:cs="Times New Roman"/>
          <w:color w:val="auto"/>
          <w:sz w:val="32"/>
          <w:szCs w:val="32"/>
          <w:u w:val="none"/>
        </w:rPr>
        <w:t>形成</w:t>
      </w:r>
      <w:r>
        <w:rPr>
          <w:rStyle w:val="20"/>
          <w:rFonts w:hint="eastAsia" w:ascii="仿宋_GB2312" w:hAnsi="仿宋_GB2312" w:eastAsia="仿宋_GB2312"/>
          <w:color w:val="auto"/>
          <w:sz w:val="32"/>
          <w:szCs w:val="32"/>
          <w:u w:val="none"/>
        </w:rPr>
        <w:t>与</w:t>
      </w:r>
      <w:r>
        <w:rPr>
          <w:rStyle w:val="20"/>
          <w:rFonts w:ascii="仿宋_GB2312" w:hAnsi="仿宋_GB2312" w:eastAsia="仿宋_GB2312"/>
          <w:color w:val="auto"/>
          <w:sz w:val="32"/>
          <w:szCs w:val="32"/>
          <w:u w:val="none"/>
        </w:rPr>
        <w:t>新发展格局相适应的学科专业结构、人才培养结构，推动学校在优势学科、特色领域争创一流；统筹推进育人方式、办学模式、管理体制、保障机制改革，围绕国家文化强国建设战略需要，</w:t>
      </w:r>
      <w:r>
        <w:rPr>
          <w:rStyle w:val="20"/>
          <w:rFonts w:hint="eastAsia" w:ascii="仿宋_GB2312" w:hAnsi="仿宋_GB2312" w:eastAsia="仿宋_GB2312"/>
          <w:color w:val="auto"/>
          <w:sz w:val="32"/>
          <w:szCs w:val="32"/>
          <w:u w:val="none"/>
          <w:lang w:eastAsia="zh-CN"/>
        </w:rPr>
        <w:t>加快建设高水平特色型大学，</w:t>
      </w:r>
      <w:r>
        <w:rPr>
          <w:rStyle w:val="20"/>
          <w:rFonts w:ascii="仿宋_GB2312" w:hAnsi="仿宋_GB2312" w:eastAsia="仿宋_GB2312"/>
          <w:color w:val="auto"/>
          <w:sz w:val="32"/>
          <w:szCs w:val="32"/>
          <w:u w:val="none"/>
        </w:rPr>
        <w:t>在服务北京</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服务行业中创品牌，在特色发展</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融合发展</w:t>
      </w:r>
      <w:r>
        <w:rPr>
          <w:rStyle w:val="20"/>
          <w:rFonts w:hint="eastAsia" w:ascii="仿宋_GB2312" w:hAnsi="仿宋_GB2312" w:eastAsia="仿宋_GB2312"/>
          <w:color w:val="auto"/>
          <w:sz w:val="32"/>
          <w:szCs w:val="32"/>
          <w:u w:val="none"/>
          <w:lang w:eastAsia="zh-CN"/>
        </w:rPr>
        <w:t>、高质量发展</w:t>
      </w:r>
      <w:r>
        <w:rPr>
          <w:rStyle w:val="20"/>
          <w:rFonts w:ascii="仿宋_GB2312" w:hAnsi="仿宋_GB2312" w:eastAsia="仿宋_GB2312"/>
          <w:color w:val="auto"/>
          <w:sz w:val="32"/>
          <w:szCs w:val="32"/>
          <w:u w:val="none"/>
        </w:rPr>
        <w:t>中谱新篇。</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坚持以人才培养为根本，围绕培养担当民族复兴大任，具有社会责任感、创新精神、实践能力和综合素质的复合应用型人才目标，深化人才培养模式改革，</w:t>
      </w:r>
      <w:r>
        <w:rPr>
          <w:rStyle w:val="20"/>
          <w:rFonts w:hint="eastAsia" w:ascii="仿宋_GB2312" w:hAnsi="仿宋_GB2312" w:eastAsia="仿宋_GB2312"/>
          <w:color w:val="auto"/>
          <w:sz w:val="32"/>
          <w:szCs w:val="32"/>
          <w:u w:val="none"/>
        </w:rPr>
        <w:t>落实德智体美劳“五育并举”方针，</w:t>
      </w:r>
      <w:r>
        <w:rPr>
          <w:rStyle w:val="20"/>
          <w:rFonts w:ascii="仿宋_GB2312" w:hAnsi="仿宋_GB2312" w:eastAsia="仿宋_GB2312"/>
          <w:color w:val="auto"/>
          <w:sz w:val="32"/>
          <w:szCs w:val="32"/>
          <w:u w:val="none"/>
        </w:rPr>
        <w:t>实施精细化培养，</w:t>
      </w:r>
      <w:r>
        <w:rPr>
          <w:rStyle w:val="20"/>
          <w:rFonts w:hint="eastAsia" w:ascii="仿宋_GB2312" w:hAnsi="仿宋_GB2312" w:eastAsia="仿宋_GB2312"/>
          <w:color w:val="auto"/>
          <w:sz w:val="32"/>
          <w:szCs w:val="32"/>
          <w:u w:val="none"/>
        </w:rPr>
        <w:t>注重创新意识和创新精神的培养，</w:t>
      </w:r>
      <w:r>
        <w:rPr>
          <w:rStyle w:val="20"/>
          <w:rFonts w:ascii="仿宋_GB2312" w:hAnsi="仿宋_GB2312" w:eastAsia="仿宋_GB2312"/>
          <w:color w:val="auto"/>
          <w:sz w:val="32"/>
          <w:szCs w:val="32"/>
          <w:u w:val="none"/>
        </w:rPr>
        <w:t>强化产教融合校企合作，拓展国际交流与合作，推进“卓越工程师教育培养计划”，打造凸显专业特色和人才培养特色的一流本科教育体系和研究生培养体系。</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坚持以学科建设为引领，</w:t>
      </w:r>
      <w:r>
        <w:rPr>
          <w:rStyle w:val="20"/>
          <w:rFonts w:hint="eastAsia" w:ascii="仿宋_GB2312" w:hAnsi="仿宋_GB2312" w:eastAsia="仿宋_GB2312"/>
          <w:color w:val="auto"/>
          <w:sz w:val="32"/>
          <w:szCs w:val="32"/>
          <w:u w:val="none"/>
          <w:lang w:eastAsia="zh-CN"/>
        </w:rPr>
        <w:t>构建</w:t>
      </w:r>
      <w:r>
        <w:rPr>
          <w:rStyle w:val="20"/>
          <w:rFonts w:ascii="仿宋_GB2312" w:hAnsi="仿宋_GB2312" w:eastAsia="仿宋_GB2312"/>
          <w:color w:val="auto"/>
          <w:sz w:val="32"/>
          <w:szCs w:val="32"/>
          <w:u w:val="none"/>
        </w:rPr>
        <w:t>以新闻传播学、设计学、轻工技术与工程为主干，新兴交叉学科为主要生长点，工、文、艺、管</w:t>
      </w:r>
      <w:r>
        <w:rPr>
          <w:rStyle w:val="20"/>
          <w:rFonts w:hint="eastAsia" w:ascii="仿宋_GB2312" w:hAnsi="仿宋_GB2312" w:eastAsia="仿宋_GB2312"/>
          <w:color w:val="auto"/>
          <w:sz w:val="32"/>
          <w:szCs w:val="32"/>
          <w:u w:val="none"/>
        </w:rPr>
        <w:t>、法、理</w:t>
      </w:r>
      <w:r>
        <w:rPr>
          <w:rStyle w:val="20"/>
          <w:rFonts w:ascii="仿宋_GB2312" w:hAnsi="仿宋_GB2312" w:eastAsia="仿宋_GB2312"/>
          <w:color w:val="auto"/>
          <w:sz w:val="32"/>
          <w:szCs w:val="32"/>
          <w:u w:val="none"/>
        </w:rPr>
        <w:t>协调发展的多学科体系；教学科研互动，学科交叉融合，强化以服务新闻出版业发展为主线的学科特色，显著提升若干优势学科的学术实力。</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坚持以</w:t>
      </w:r>
      <w:r>
        <w:rPr>
          <w:rStyle w:val="20"/>
          <w:rFonts w:hint="eastAsia" w:ascii="仿宋_GB2312" w:hAnsi="仿宋_GB2312" w:eastAsia="仿宋_GB2312"/>
          <w:color w:val="auto"/>
          <w:sz w:val="32"/>
          <w:szCs w:val="32"/>
          <w:u w:val="none"/>
        </w:rPr>
        <w:t>师资</w:t>
      </w:r>
      <w:r>
        <w:rPr>
          <w:rStyle w:val="20"/>
          <w:rFonts w:ascii="仿宋_GB2312" w:hAnsi="仿宋_GB2312" w:eastAsia="仿宋_GB2312"/>
          <w:color w:val="auto"/>
          <w:sz w:val="32"/>
          <w:szCs w:val="32"/>
          <w:u w:val="none"/>
        </w:rPr>
        <w:t>建设为关键，健全机制，引育并重，充实队伍，优化结构，提升能力，采取有力措施重点引进亟需的高层次人才；重视师资队伍国际化培养，</w:t>
      </w:r>
      <w:r>
        <w:rPr>
          <w:rStyle w:val="20"/>
          <w:rFonts w:hint="eastAsia" w:ascii="仿宋_GB2312" w:hAnsi="仿宋_GB2312" w:eastAsia="仿宋_GB2312"/>
          <w:color w:val="auto"/>
          <w:sz w:val="32"/>
          <w:szCs w:val="32"/>
          <w:u w:val="none"/>
          <w:lang w:eastAsia="zh-CN"/>
        </w:rPr>
        <w:t>提升</w:t>
      </w:r>
      <w:r>
        <w:rPr>
          <w:rStyle w:val="20"/>
          <w:rFonts w:ascii="仿宋_GB2312" w:hAnsi="仿宋_GB2312" w:eastAsia="仿宋_GB2312"/>
          <w:color w:val="auto"/>
          <w:sz w:val="32"/>
          <w:szCs w:val="32"/>
          <w:u w:val="none"/>
        </w:rPr>
        <w:t>师资队伍</w:t>
      </w:r>
      <w:r>
        <w:rPr>
          <w:rStyle w:val="20"/>
          <w:rFonts w:hint="eastAsia" w:ascii="仿宋_GB2312" w:hAnsi="仿宋_GB2312" w:eastAsia="仿宋_GB2312"/>
          <w:color w:val="auto"/>
          <w:sz w:val="32"/>
          <w:szCs w:val="32"/>
          <w:u w:val="none"/>
          <w:lang w:eastAsia="zh-CN"/>
        </w:rPr>
        <w:t>国际化水平</w:t>
      </w:r>
      <w:r>
        <w:rPr>
          <w:rStyle w:val="20"/>
          <w:rFonts w:ascii="仿宋_GB2312" w:hAnsi="仿宋_GB2312" w:eastAsia="仿宋_GB2312"/>
          <w:color w:val="auto"/>
          <w:sz w:val="32"/>
          <w:szCs w:val="32"/>
          <w:u w:val="none"/>
        </w:rPr>
        <w:t>；重视行业实践锻炼，加强双师型教师队伍建设；聘请行业专业技术人员和管理人员参与人才培养；管理由现行人事管理向人力资源管理转变，努力建设一支品德高尚、业务精湛的高素质师资队伍。</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坚持</w:t>
      </w:r>
      <w:r>
        <w:rPr>
          <w:rStyle w:val="20"/>
          <w:rFonts w:hint="eastAsia" w:ascii="仿宋_GB2312" w:hAnsi="仿宋_GB2312" w:eastAsia="仿宋_GB2312"/>
          <w:color w:val="auto"/>
          <w:sz w:val="32"/>
          <w:szCs w:val="32"/>
          <w:u w:val="none"/>
        </w:rPr>
        <w:t>以</w:t>
      </w:r>
      <w:r>
        <w:rPr>
          <w:rStyle w:val="20"/>
          <w:rFonts w:ascii="仿宋_GB2312" w:hAnsi="仿宋_GB2312" w:eastAsia="仿宋_GB2312"/>
          <w:color w:val="auto"/>
          <w:sz w:val="32"/>
          <w:szCs w:val="32"/>
          <w:u w:val="none"/>
        </w:rPr>
        <w:t>服务北京</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服务行业</w:t>
      </w:r>
      <w:r>
        <w:rPr>
          <w:rStyle w:val="20"/>
          <w:rFonts w:hint="eastAsia" w:ascii="仿宋_GB2312" w:hAnsi="仿宋_GB2312" w:eastAsia="仿宋_GB2312"/>
          <w:color w:val="auto"/>
          <w:sz w:val="32"/>
          <w:szCs w:val="32"/>
          <w:u w:val="none"/>
        </w:rPr>
        <w:t>为</w:t>
      </w:r>
      <w:r>
        <w:rPr>
          <w:rStyle w:val="20"/>
          <w:rFonts w:ascii="仿宋_GB2312" w:hAnsi="仿宋_GB2312" w:eastAsia="仿宋_GB2312"/>
          <w:color w:val="auto"/>
          <w:sz w:val="32"/>
          <w:szCs w:val="32"/>
          <w:u w:val="none"/>
        </w:rPr>
        <w:t>面</w:t>
      </w:r>
      <w:r>
        <w:rPr>
          <w:rStyle w:val="20"/>
          <w:rFonts w:ascii="仿宋_GB2312" w:hAnsi="仿宋_GB2312" w:eastAsia="仿宋_GB2312" w:cs="Times New Roman"/>
          <w:color w:val="auto"/>
          <w:sz w:val="32"/>
          <w:szCs w:val="32"/>
          <w:u w:val="none"/>
        </w:rPr>
        <w:t>向</w:t>
      </w:r>
      <w:r>
        <w:rPr>
          <w:rStyle w:val="20"/>
          <w:rFonts w:hint="eastAsia" w:ascii="仿宋_GB2312" w:hAnsi="仿宋_GB2312" w:eastAsia="仿宋_GB2312" w:cs="Times New Roman"/>
          <w:color w:val="auto"/>
          <w:sz w:val="32"/>
          <w:szCs w:val="32"/>
          <w:u w:val="none"/>
        </w:rPr>
        <w:t>，</w:t>
      </w:r>
      <w:r>
        <w:rPr>
          <w:rStyle w:val="20"/>
          <w:rFonts w:ascii="仿宋_GB2312" w:hAnsi="仿宋_GB2312" w:eastAsia="仿宋_GB2312"/>
          <w:color w:val="auto"/>
          <w:sz w:val="32"/>
          <w:szCs w:val="32"/>
          <w:u w:val="none"/>
        </w:rPr>
        <w:t>站在国家经济社会发展特别是北京经济社会发展和行业的高度，</w:t>
      </w:r>
      <w:r>
        <w:rPr>
          <w:rStyle w:val="20"/>
          <w:rFonts w:hint="eastAsia" w:ascii="仿宋_GB2312" w:hAnsi="仿宋_GB2312" w:eastAsia="仿宋_GB2312" w:cs="Times New Roman"/>
          <w:color w:val="auto"/>
          <w:sz w:val="32"/>
          <w:szCs w:val="32"/>
          <w:u w:val="none"/>
          <w:lang w:eastAsia="zh-CN"/>
        </w:rPr>
        <w:t>瞄准行业发展瓶颈和关键技术，</w:t>
      </w:r>
      <w:r>
        <w:rPr>
          <w:rStyle w:val="20"/>
          <w:rFonts w:ascii="仿宋_GB2312" w:hAnsi="仿宋_GB2312" w:eastAsia="仿宋_GB2312"/>
          <w:color w:val="auto"/>
          <w:sz w:val="32"/>
          <w:szCs w:val="32"/>
          <w:u w:val="none"/>
        </w:rPr>
        <w:t>以服务求合作，以合作促发展，加强服务能力建设，提高服务水平和服务质量，推动学校事业发展。</w:t>
      </w:r>
    </w:p>
    <w:p>
      <w:pPr>
        <w:pStyle w:val="3"/>
        <w:spacing w:line="560" w:lineRule="exact"/>
        <w:ind w:firstLine="643" w:firstLineChars="200"/>
        <w:rPr>
          <w:rFonts w:ascii="楷体_GB2312" w:hAnsi="楷体_GB2312" w:eastAsia="楷体_GB2312" w:cs="楷体_GB2312"/>
          <w:color w:val="auto"/>
          <w:u w:val="none"/>
        </w:rPr>
      </w:pPr>
      <w:bookmarkStart w:id="128" w:name="_Toc17273"/>
      <w:bookmarkStart w:id="129" w:name="_Toc19453"/>
      <w:bookmarkStart w:id="130" w:name="_Toc4933"/>
      <w:bookmarkStart w:id="131" w:name="_Toc4342"/>
      <w:bookmarkStart w:id="132" w:name="_Toc10209"/>
      <w:bookmarkStart w:id="133" w:name="_Toc29860"/>
      <w:bookmarkStart w:id="134" w:name="_Toc30597"/>
      <w:bookmarkStart w:id="135" w:name="_Toc15657"/>
      <w:bookmarkStart w:id="136" w:name="_Toc28051"/>
      <w:bookmarkStart w:id="137" w:name="_Toc13212"/>
      <w:bookmarkStart w:id="138" w:name="_Toc10748"/>
      <w:bookmarkStart w:id="139" w:name="_Toc22074"/>
      <w:bookmarkStart w:id="140" w:name="_Toc4443"/>
      <w:bookmarkStart w:id="141" w:name="_Toc1535"/>
      <w:bookmarkStart w:id="142" w:name="_Toc26840"/>
      <w:bookmarkStart w:id="143" w:name="_Toc8908"/>
      <w:bookmarkStart w:id="144" w:name="_Toc8884"/>
      <w:bookmarkStart w:id="145" w:name="_Toc8995"/>
      <w:bookmarkStart w:id="146" w:name="_Toc31351"/>
      <w:bookmarkStart w:id="147" w:name="_Toc17596"/>
      <w:bookmarkStart w:id="148" w:name="_Toc6970"/>
      <w:r>
        <w:rPr>
          <w:rFonts w:hint="eastAsia" w:ascii="楷体_GB2312" w:hAnsi="楷体_GB2312" w:eastAsia="楷体_GB2312" w:cs="楷体_GB2312"/>
          <w:color w:val="auto"/>
          <w:u w:val="none"/>
        </w:rPr>
        <w:t>（二）主要目标</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十四五”期间，对标学校第三次党代会精神和新时期“三步走”战略要求，到2025年，办学定位更加精准，学科专业结构更加优化，优秀人才进一步汇聚，人才培养水平和人才培养能力显著提高，科研实力和服务社会能力进一步彰显，教学科研团队影响力进一步增强，国际化交流和国际教育水平进一步提高，社会声誉大幅提升。体现媒体融合的交叉学科和相关专业的实力明显增强，服务</w:t>
      </w:r>
      <w:r>
        <w:rPr>
          <w:rStyle w:val="20"/>
          <w:rFonts w:hint="eastAsia" w:ascii="仿宋_GB2312" w:hAnsi="仿宋_GB2312" w:eastAsia="仿宋_GB2312" w:cs="Times New Roman"/>
          <w:color w:val="auto"/>
          <w:sz w:val="32"/>
          <w:szCs w:val="32"/>
          <w:u w:val="none"/>
          <w:lang w:eastAsia="zh-CN"/>
        </w:rPr>
        <w:t>出版与传播、印刷与包装、设计与艺术</w:t>
      </w:r>
      <w:r>
        <w:rPr>
          <w:rStyle w:val="20"/>
          <w:rFonts w:ascii="仿宋_GB2312" w:hAnsi="仿宋_GB2312" w:eastAsia="仿宋_GB2312"/>
          <w:color w:val="auto"/>
          <w:sz w:val="32"/>
          <w:szCs w:val="32"/>
          <w:u w:val="none"/>
        </w:rPr>
        <w:t>领域的办学特色更加鲜明，进入国内一流水平，成为我国出版传媒全产业链复合应用型高级专门人才培养基地、</w:t>
      </w:r>
      <w:r>
        <w:rPr>
          <w:rStyle w:val="20"/>
          <w:rFonts w:hint="eastAsia" w:ascii="仿宋_GB2312" w:hAnsi="仿宋_GB2312" w:eastAsia="仿宋_GB2312"/>
          <w:color w:val="auto"/>
          <w:sz w:val="32"/>
          <w:szCs w:val="32"/>
          <w:u w:val="none"/>
          <w:lang w:eastAsia="zh-CN"/>
        </w:rPr>
        <w:t>科研</w:t>
      </w:r>
      <w:r>
        <w:rPr>
          <w:rStyle w:val="20"/>
          <w:rFonts w:ascii="仿宋_GB2312" w:hAnsi="仿宋_GB2312" w:eastAsia="仿宋_GB2312"/>
          <w:color w:val="auto"/>
          <w:sz w:val="32"/>
          <w:szCs w:val="32"/>
          <w:u w:val="none"/>
        </w:rPr>
        <w:t>创新成果转化基地</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为实现高水平特色</w:t>
      </w:r>
      <w:r>
        <w:rPr>
          <w:rStyle w:val="20"/>
          <w:rFonts w:hint="eastAsia" w:ascii="仿宋_GB2312" w:hAnsi="仿宋_GB2312" w:eastAsia="仿宋_GB2312"/>
          <w:color w:val="auto"/>
          <w:sz w:val="32"/>
          <w:szCs w:val="32"/>
          <w:u w:val="none"/>
          <w:lang w:eastAsia="zh-CN"/>
        </w:rPr>
        <w:t>型大学</w:t>
      </w:r>
      <w:r>
        <w:rPr>
          <w:rStyle w:val="20"/>
          <w:rFonts w:ascii="仿宋_GB2312" w:hAnsi="仿宋_GB2312" w:eastAsia="仿宋_GB2312"/>
          <w:color w:val="auto"/>
          <w:sz w:val="32"/>
          <w:szCs w:val="32"/>
          <w:u w:val="none"/>
        </w:rPr>
        <w:t>建设目标奠定坚实基础。</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经过“十四五”时期发展建设，在八个方面取得重点突破：</w:t>
      </w:r>
    </w:p>
    <w:p>
      <w:pPr>
        <w:spacing w:line="560" w:lineRule="exact"/>
        <w:ind w:firstLine="643" w:firstLineChars="200"/>
        <w:rPr>
          <w:rStyle w:val="20"/>
          <w:rFonts w:hint="eastAsia" w:ascii="仿宋_GB2312" w:hAnsi="仿宋_GB2312" w:eastAsia="仿宋_GB2312"/>
          <w:color w:val="auto"/>
          <w:sz w:val="32"/>
          <w:szCs w:val="32"/>
          <w:u w:val="none"/>
          <w:lang w:eastAsia="zh-CN"/>
        </w:rPr>
      </w:pPr>
      <w:r>
        <w:rPr>
          <w:rStyle w:val="20"/>
          <w:rFonts w:ascii="仿宋_GB2312" w:hAnsi="仿宋_GB2312" w:eastAsia="仿宋_GB2312" w:cs="Times New Roman"/>
          <w:b/>
          <w:bCs/>
          <w:color w:val="auto"/>
          <w:sz w:val="32"/>
          <w:szCs w:val="32"/>
          <w:u w:val="none"/>
        </w:rPr>
        <w:t>一是</w:t>
      </w:r>
      <w:r>
        <w:rPr>
          <w:rStyle w:val="20"/>
          <w:rFonts w:ascii="仿宋_GB2312" w:hAnsi="仿宋_GB2312" w:eastAsia="仿宋_GB2312"/>
          <w:b/>
          <w:bCs/>
          <w:color w:val="auto"/>
          <w:sz w:val="32"/>
          <w:szCs w:val="32"/>
          <w:u w:val="none"/>
        </w:rPr>
        <w:t>办学规模的</w:t>
      </w:r>
      <w:r>
        <w:rPr>
          <w:rStyle w:val="20"/>
          <w:rFonts w:hint="eastAsia" w:ascii="仿宋_GB2312" w:hAnsi="仿宋_GB2312" w:eastAsia="仿宋_GB2312"/>
          <w:b/>
          <w:bCs/>
          <w:color w:val="auto"/>
          <w:sz w:val="32"/>
          <w:szCs w:val="32"/>
          <w:u w:val="none"/>
          <w:lang w:eastAsia="zh-CN"/>
        </w:rPr>
        <w:t>稳定。</w:t>
      </w:r>
      <w:r>
        <w:rPr>
          <w:rStyle w:val="20"/>
          <w:rFonts w:hint="eastAsia" w:ascii="仿宋_GB2312" w:hAnsi="仿宋_GB2312" w:eastAsia="仿宋_GB2312"/>
          <w:color w:val="auto"/>
          <w:sz w:val="32"/>
          <w:szCs w:val="32"/>
          <w:u w:val="none"/>
          <w:lang w:eastAsia="zh-CN"/>
        </w:rPr>
        <w:t>基本稳定本科生规模</w:t>
      </w:r>
      <w:r>
        <w:rPr>
          <w:rStyle w:val="20"/>
          <w:rFonts w:ascii="仿宋_GB2312" w:hAnsi="仿宋_GB2312" w:eastAsia="仿宋_GB2312"/>
          <w:color w:val="auto"/>
          <w:sz w:val="32"/>
          <w:szCs w:val="32"/>
          <w:u w:val="none"/>
        </w:rPr>
        <w:t>，</w:t>
      </w:r>
      <w:r>
        <w:rPr>
          <w:rStyle w:val="20"/>
          <w:rFonts w:hint="eastAsia" w:ascii="仿宋_GB2312" w:hAnsi="仿宋_GB2312" w:eastAsia="仿宋_GB2312"/>
          <w:color w:val="auto"/>
          <w:sz w:val="32"/>
          <w:szCs w:val="32"/>
          <w:u w:val="none"/>
          <w:lang w:eastAsia="zh-CN"/>
        </w:rPr>
        <w:t>适度增加</w:t>
      </w:r>
      <w:r>
        <w:rPr>
          <w:rStyle w:val="20"/>
          <w:rFonts w:ascii="仿宋_GB2312" w:hAnsi="仿宋_GB2312" w:eastAsia="仿宋_GB2312"/>
          <w:color w:val="auto"/>
          <w:sz w:val="32"/>
          <w:szCs w:val="32"/>
          <w:u w:val="none"/>
        </w:rPr>
        <w:t>研究生</w:t>
      </w:r>
      <w:r>
        <w:rPr>
          <w:rStyle w:val="20"/>
          <w:rFonts w:hint="eastAsia" w:ascii="仿宋_GB2312" w:hAnsi="仿宋_GB2312" w:eastAsia="仿宋_GB2312"/>
          <w:color w:val="auto"/>
          <w:sz w:val="32"/>
          <w:szCs w:val="32"/>
          <w:u w:val="none"/>
          <w:lang w:eastAsia="zh-CN"/>
        </w:rPr>
        <w:t>规模</w:t>
      </w:r>
      <w:r>
        <w:rPr>
          <w:rStyle w:val="20"/>
          <w:rFonts w:hint="eastAsia" w:ascii="仿宋_GB2312" w:hAnsi="仿宋_GB2312" w:eastAsia="仿宋_GB2312" w:cs="Times New Roman"/>
          <w:color w:val="auto"/>
          <w:sz w:val="32"/>
          <w:szCs w:val="32"/>
          <w:u w:val="none"/>
          <w:lang w:eastAsia="zh-CN"/>
        </w:rPr>
        <w:t>。</w:t>
      </w:r>
    </w:p>
    <w:p>
      <w:pPr>
        <w:spacing w:line="560" w:lineRule="exact"/>
        <w:ind w:firstLine="643" w:firstLineChars="200"/>
        <w:rPr>
          <w:rStyle w:val="20"/>
          <w:rFonts w:hint="eastAsia" w:ascii="仿宋_GB2312" w:hAnsi="仿宋_GB2312" w:eastAsia="仿宋_GB2312"/>
          <w:color w:val="auto"/>
          <w:sz w:val="32"/>
          <w:szCs w:val="32"/>
          <w:u w:val="none"/>
          <w:lang w:eastAsia="zh-CN"/>
        </w:rPr>
      </w:pPr>
      <w:r>
        <w:rPr>
          <w:rStyle w:val="20"/>
          <w:rFonts w:ascii="仿宋_GB2312" w:hAnsi="仿宋_GB2312" w:eastAsia="仿宋_GB2312" w:cs="Times New Roman"/>
          <w:b/>
          <w:bCs/>
          <w:color w:val="auto"/>
          <w:sz w:val="32"/>
          <w:szCs w:val="32"/>
          <w:u w:val="none"/>
        </w:rPr>
        <w:t>二是</w:t>
      </w:r>
      <w:r>
        <w:rPr>
          <w:rStyle w:val="20"/>
          <w:rFonts w:ascii="仿宋_GB2312" w:hAnsi="仿宋_GB2312" w:eastAsia="仿宋_GB2312"/>
          <w:b/>
          <w:bCs/>
          <w:color w:val="auto"/>
          <w:sz w:val="32"/>
          <w:szCs w:val="32"/>
          <w:u w:val="none"/>
        </w:rPr>
        <w:t>学科建设的突破</w:t>
      </w:r>
      <w:r>
        <w:rPr>
          <w:rStyle w:val="20"/>
          <w:rFonts w:hint="eastAsia" w:ascii="仿宋_GB2312" w:hAnsi="仿宋_GB2312" w:eastAsia="仿宋_GB2312"/>
          <w:b/>
          <w:bCs/>
          <w:color w:val="auto"/>
          <w:sz w:val="32"/>
          <w:szCs w:val="32"/>
          <w:u w:val="none"/>
          <w:lang w:eastAsia="zh-CN"/>
        </w:rPr>
        <w:t>。</w:t>
      </w:r>
      <w:r>
        <w:rPr>
          <w:rStyle w:val="20"/>
          <w:rFonts w:hint="eastAsia" w:ascii="仿宋_GB2312" w:hAnsi="仿宋_GB2312" w:eastAsia="仿宋_GB2312" w:cs="Times New Roman"/>
          <w:color w:val="auto"/>
          <w:sz w:val="32"/>
          <w:szCs w:val="32"/>
          <w:u w:val="none"/>
          <w:lang w:eastAsia="zh-CN"/>
        </w:rPr>
        <w:t>力争获批博士授权单位和博士学位授权点，</w:t>
      </w:r>
      <w:r>
        <w:rPr>
          <w:rStyle w:val="20"/>
          <w:rFonts w:ascii="仿宋_GB2312" w:hAnsi="仿宋_GB2312" w:eastAsia="仿宋_GB2312"/>
          <w:color w:val="auto"/>
          <w:sz w:val="32"/>
          <w:szCs w:val="32"/>
          <w:u w:val="none"/>
        </w:rPr>
        <w:t>出版学增列一级学科目录，力争在教育部全国学科评估排名中2-3个学科进入B序列</w:t>
      </w:r>
      <w:r>
        <w:rPr>
          <w:rStyle w:val="20"/>
          <w:rFonts w:hint="eastAsia" w:ascii="仿宋_GB2312" w:hAnsi="仿宋_GB2312" w:eastAsia="仿宋_GB2312" w:cs="Times New Roman"/>
          <w:color w:val="auto"/>
          <w:sz w:val="32"/>
          <w:szCs w:val="32"/>
          <w:u w:val="none"/>
          <w:lang w:eastAsia="zh-CN"/>
        </w:rPr>
        <w:t>。</w:t>
      </w:r>
    </w:p>
    <w:p>
      <w:pPr>
        <w:spacing w:line="560" w:lineRule="exact"/>
        <w:ind w:firstLine="643" w:firstLineChars="200"/>
        <w:rPr>
          <w:rStyle w:val="20"/>
          <w:rFonts w:hint="eastAsia" w:ascii="仿宋_GB2312" w:hAnsi="仿宋_GB2312" w:eastAsia="仿宋_GB2312"/>
          <w:color w:val="auto"/>
          <w:sz w:val="32"/>
          <w:szCs w:val="32"/>
          <w:u w:val="none"/>
          <w:lang w:eastAsia="zh-CN"/>
        </w:rPr>
      </w:pPr>
      <w:r>
        <w:rPr>
          <w:rStyle w:val="20"/>
          <w:rFonts w:ascii="仿宋_GB2312" w:hAnsi="仿宋_GB2312" w:eastAsia="仿宋_GB2312" w:cs="Times New Roman"/>
          <w:b/>
          <w:bCs/>
          <w:color w:val="auto"/>
          <w:sz w:val="32"/>
          <w:szCs w:val="32"/>
          <w:u w:val="none"/>
        </w:rPr>
        <w:t>三是</w:t>
      </w:r>
      <w:r>
        <w:rPr>
          <w:rStyle w:val="20"/>
          <w:rFonts w:ascii="仿宋_GB2312" w:hAnsi="仿宋_GB2312" w:eastAsia="仿宋_GB2312"/>
          <w:b/>
          <w:bCs/>
          <w:color w:val="auto"/>
          <w:sz w:val="32"/>
          <w:szCs w:val="32"/>
          <w:u w:val="none"/>
        </w:rPr>
        <w:t>人才培养质量的突破</w:t>
      </w:r>
      <w:r>
        <w:rPr>
          <w:rStyle w:val="20"/>
          <w:rFonts w:hint="eastAsia" w:ascii="仿宋_GB2312" w:hAnsi="仿宋_GB2312" w:eastAsia="仿宋_GB2312"/>
          <w:b/>
          <w:bCs/>
          <w:color w:val="auto"/>
          <w:sz w:val="32"/>
          <w:szCs w:val="32"/>
          <w:u w:val="none"/>
          <w:lang w:eastAsia="zh-CN"/>
        </w:rPr>
        <w:t>。</w:t>
      </w:r>
      <w:r>
        <w:rPr>
          <w:rStyle w:val="20"/>
          <w:rFonts w:ascii="仿宋_GB2312" w:hAnsi="仿宋_GB2312" w:eastAsia="仿宋_GB2312"/>
          <w:color w:val="auto"/>
          <w:sz w:val="32"/>
          <w:szCs w:val="32"/>
          <w:u w:val="none"/>
        </w:rPr>
        <w:t>“以学生为中心”教学范式改革取得明显成效，力争新增国家级一流专业建设点3-5个，国家级教学成果奖、教材奖</w:t>
      </w:r>
      <w:r>
        <w:rPr>
          <w:rStyle w:val="20"/>
          <w:rFonts w:hint="eastAsia" w:ascii="仿宋_GB2312" w:hAnsi="仿宋_GB2312" w:eastAsia="仿宋_GB2312"/>
          <w:color w:val="auto"/>
          <w:sz w:val="32"/>
          <w:szCs w:val="32"/>
          <w:u w:val="none"/>
          <w:lang w:val="en-US" w:eastAsia="zh-CN"/>
        </w:rPr>
        <w:t>1-2</w:t>
      </w:r>
      <w:r>
        <w:rPr>
          <w:rStyle w:val="20"/>
          <w:rFonts w:ascii="仿宋_GB2312" w:hAnsi="仿宋_GB2312" w:eastAsia="仿宋_GB2312"/>
          <w:color w:val="auto"/>
          <w:sz w:val="32"/>
          <w:szCs w:val="32"/>
          <w:u w:val="none"/>
        </w:rPr>
        <w:t>项</w:t>
      </w:r>
      <w:r>
        <w:rPr>
          <w:rStyle w:val="20"/>
          <w:rFonts w:hint="eastAsia" w:ascii="仿宋_GB2312" w:hAnsi="仿宋_GB2312" w:eastAsia="仿宋_GB2312" w:cs="Times New Roman"/>
          <w:color w:val="auto"/>
          <w:sz w:val="32"/>
          <w:szCs w:val="32"/>
          <w:u w:val="none"/>
          <w:lang w:eastAsia="zh-CN"/>
        </w:rPr>
        <w:t>。</w:t>
      </w:r>
    </w:p>
    <w:p>
      <w:pPr>
        <w:spacing w:line="560" w:lineRule="exact"/>
        <w:ind w:firstLine="643" w:firstLineChars="200"/>
        <w:rPr>
          <w:rStyle w:val="20"/>
          <w:rFonts w:hint="eastAsia" w:ascii="仿宋_GB2312" w:hAnsi="仿宋_GB2312" w:eastAsia="仿宋_GB2312"/>
          <w:color w:val="auto"/>
          <w:sz w:val="32"/>
          <w:szCs w:val="32"/>
          <w:u w:val="none"/>
          <w:lang w:eastAsia="zh-CN"/>
        </w:rPr>
      </w:pPr>
      <w:r>
        <w:rPr>
          <w:rStyle w:val="20"/>
          <w:rFonts w:ascii="仿宋_GB2312" w:hAnsi="仿宋_GB2312" w:eastAsia="仿宋_GB2312" w:cs="Times New Roman"/>
          <w:b/>
          <w:bCs/>
          <w:color w:val="auto"/>
          <w:sz w:val="32"/>
          <w:szCs w:val="32"/>
          <w:u w:val="none"/>
        </w:rPr>
        <w:t>四是</w:t>
      </w:r>
      <w:r>
        <w:rPr>
          <w:rStyle w:val="20"/>
          <w:rFonts w:ascii="仿宋_GB2312" w:hAnsi="仿宋_GB2312" w:eastAsia="仿宋_GB2312"/>
          <w:b/>
          <w:bCs/>
          <w:color w:val="auto"/>
          <w:sz w:val="32"/>
          <w:szCs w:val="32"/>
          <w:u w:val="none"/>
        </w:rPr>
        <w:t>科研实力的突破</w:t>
      </w:r>
      <w:r>
        <w:rPr>
          <w:rStyle w:val="20"/>
          <w:rFonts w:hint="eastAsia" w:ascii="仿宋_GB2312" w:hAnsi="仿宋_GB2312" w:eastAsia="仿宋_GB2312"/>
          <w:b/>
          <w:bCs/>
          <w:color w:val="auto"/>
          <w:sz w:val="32"/>
          <w:szCs w:val="32"/>
          <w:u w:val="none"/>
          <w:lang w:eastAsia="zh-CN"/>
        </w:rPr>
        <w:t>。</w:t>
      </w:r>
      <w:r>
        <w:rPr>
          <w:rStyle w:val="20"/>
          <w:rFonts w:ascii="仿宋_GB2312" w:hAnsi="仿宋_GB2312" w:eastAsia="仿宋_GB2312"/>
          <w:color w:val="auto"/>
          <w:sz w:val="32"/>
          <w:szCs w:val="32"/>
          <w:u w:val="none"/>
        </w:rPr>
        <w:t>获得国家级科研成果奖1-2项，科研经费五年累计不少于3亿元</w:t>
      </w:r>
      <w:r>
        <w:rPr>
          <w:rStyle w:val="20"/>
          <w:rFonts w:hint="eastAsia" w:ascii="仿宋_GB2312" w:hAnsi="仿宋_GB2312" w:eastAsia="仿宋_GB2312" w:cs="Times New Roman"/>
          <w:color w:val="auto"/>
          <w:sz w:val="32"/>
          <w:szCs w:val="32"/>
          <w:u w:val="none"/>
          <w:lang w:eastAsia="zh-CN"/>
        </w:rPr>
        <w:t>。</w:t>
      </w:r>
    </w:p>
    <w:p>
      <w:pPr>
        <w:spacing w:line="560" w:lineRule="exact"/>
        <w:ind w:firstLine="643" w:firstLineChars="200"/>
        <w:rPr>
          <w:rStyle w:val="20"/>
          <w:rFonts w:hint="eastAsia" w:ascii="仿宋_GB2312" w:hAnsi="仿宋_GB2312" w:eastAsia="仿宋_GB2312"/>
          <w:color w:val="auto"/>
          <w:sz w:val="32"/>
          <w:szCs w:val="32"/>
          <w:u w:val="none"/>
          <w:lang w:eastAsia="zh-CN"/>
        </w:rPr>
      </w:pPr>
      <w:r>
        <w:rPr>
          <w:rStyle w:val="20"/>
          <w:rFonts w:ascii="仿宋_GB2312" w:hAnsi="仿宋_GB2312" w:eastAsia="仿宋_GB2312" w:cs="Times New Roman"/>
          <w:b/>
          <w:bCs/>
          <w:color w:val="auto"/>
          <w:sz w:val="32"/>
          <w:szCs w:val="32"/>
          <w:u w:val="none"/>
        </w:rPr>
        <w:t>五是</w:t>
      </w:r>
      <w:r>
        <w:rPr>
          <w:rStyle w:val="20"/>
          <w:rFonts w:ascii="仿宋_GB2312" w:hAnsi="仿宋_GB2312" w:eastAsia="仿宋_GB2312"/>
          <w:b/>
          <w:bCs/>
          <w:color w:val="auto"/>
          <w:sz w:val="32"/>
          <w:szCs w:val="32"/>
          <w:u w:val="none"/>
        </w:rPr>
        <w:t>师资队伍建设的突破</w:t>
      </w:r>
      <w:r>
        <w:rPr>
          <w:rStyle w:val="20"/>
          <w:rFonts w:hint="eastAsia" w:ascii="仿宋_GB2312" w:hAnsi="仿宋_GB2312" w:eastAsia="仿宋_GB2312"/>
          <w:b/>
          <w:bCs/>
          <w:color w:val="auto"/>
          <w:sz w:val="32"/>
          <w:szCs w:val="32"/>
          <w:u w:val="none"/>
          <w:lang w:eastAsia="zh-CN"/>
        </w:rPr>
        <w:t>。</w:t>
      </w:r>
      <w:r>
        <w:rPr>
          <w:rStyle w:val="20"/>
          <w:rFonts w:ascii="仿宋_GB2312" w:hAnsi="仿宋_GB2312" w:eastAsia="仿宋_GB2312"/>
          <w:color w:val="auto"/>
          <w:sz w:val="32"/>
          <w:szCs w:val="32"/>
          <w:u w:val="none"/>
        </w:rPr>
        <w:t>师资整体实力明显提升，形成不少于4个以高层次领军人才为核心、4-5名学术骨干人才组成的稳定</w:t>
      </w:r>
      <w:r>
        <w:rPr>
          <w:rStyle w:val="20"/>
          <w:rFonts w:hint="eastAsia" w:ascii="仿宋_GB2312" w:hAnsi="仿宋_GB2312" w:eastAsia="仿宋_GB2312"/>
          <w:color w:val="auto"/>
          <w:sz w:val="32"/>
          <w:szCs w:val="32"/>
          <w:u w:val="none"/>
          <w:lang w:eastAsia="zh-CN"/>
        </w:rPr>
        <w:t>的</w:t>
      </w:r>
      <w:r>
        <w:rPr>
          <w:rStyle w:val="20"/>
          <w:rFonts w:ascii="仿宋_GB2312" w:hAnsi="仿宋_GB2312" w:eastAsia="仿宋_GB2312"/>
          <w:color w:val="auto"/>
          <w:sz w:val="32"/>
          <w:szCs w:val="32"/>
          <w:u w:val="none"/>
        </w:rPr>
        <w:t>学术团队</w:t>
      </w:r>
      <w:r>
        <w:rPr>
          <w:rStyle w:val="20"/>
          <w:rFonts w:hint="eastAsia" w:ascii="仿宋_GB2312" w:hAnsi="仿宋_GB2312" w:eastAsia="仿宋_GB2312" w:cs="Times New Roman"/>
          <w:color w:val="auto"/>
          <w:sz w:val="32"/>
          <w:szCs w:val="32"/>
          <w:u w:val="none"/>
          <w:lang w:eastAsia="zh-CN"/>
        </w:rPr>
        <w:t>。</w:t>
      </w:r>
    </w:p>
    <w:p>
      <w:pPr>
        <w:spacing w:line="560" w:lineRule="exact"/>
        <w:ind w:firstLine="643" w:firstLineChars="200"/>
        <w:rPr>
          <w:rStyle w:val="20"/>
          <w:rFonts w:hint="eastAsia" w:ascii="仿宋_GB2312" w:hAnsi="仿宋_GB2312" w:eastAsia="仿宋_GB2312"/>
          <w:color w:val="auto"/>
          <w:sz w:val="32"/>
          <w:szCs w:val="32"/>
          <w:u w:val="none"/>
          <w:lang w:eastAsia="zh-CN"/>
        </w:rPr>
      </w:pPr>
      <w:r>
        <w:rPr>
          <w:rStyle w:val="20"/>
          <w:rFonts w:ascii="仿宋_GB2312" w:hAnsi="仿宋_GB2312" w:eastAsia="仿宋_GB2312" w:cs="Times New Roman"/>
          <w:b/>
          <w:bCs/>
          <w:color w:val="auto"/>
          <w:sz w:val="32"/>
          <w:szCs w:val="32"/>
          <w:u w:val="none"/>
        </w:rPr>
        <w:t>六是</w:t>
      </w:r>
      <w:r>
        <w:rPr>
          <w:rStyle w:val="20"/>
          <w:rFonts w:ascii="仿宋_GB2312" w:hAnsi="仿宋_GB2312" w:eastAsia="仿宋_GB2312"/>
          <w:b/>
          <w:bCs/>
          <w:color w:val="auto"/>
          <w:sz w:val="32"/>
          <w:szCs w:val="32"/>
          <w:u w:val="none"/>
        </w:rPr>
        <w:t>国际化发展的突破</w:t>
      </w:r>
      <w:r>
        <w:rPr>
          <w:rStyle w:val="20"/>
          <w:rFonts w:hint="eastAsia" w:ascii="仿宋_GB2312" w:hAnsi="仿宋_GB2312" w:eastAsia="仿宋_GB2312"/>
          <w:b/>
          <w:bCs/>
          <w:color w:val="auto"/>
          <w:sz w:val="32"/>
          <w:szCs w:val="32"/>
          <w:u w:val="none"/>
          <w:lang w:eastAsia="zh-CN"/>
        </w:rPr>
        <w:t>。</w:t>
      </w:r>
      <w:r>
        <w:rPr>
          <w:rStyle w:val="20"/>
          <w:rFonts w:ascii="仿宋_GB2312" w:hAnsi="仿宋_GB2312" w:eastAsia="仿宋_GB2312"/>
          <w:color w:val="auto"/>
          <w:sz w:val="32"/>
          <w:szCs w:val="32"/>
          <w:u w:val="none"/>
        </w:rPr>
        <w:t>每个教学院系都有相对稳定、关系密切、合作深入的国外大学合作伙伴，具有出国学习交流经历的本科生、研究生比例分别达到5%和20%</w:t>
      </w:r>
      <w:r>
        <w:rPr>
          <w:rStyle w:val="20"/>
          <w:rFonts w:hint="eastAsia" w:ascii="仿宋_GB2312" w:hAnsi="仿宋_GB2312" w:eastAsia="仿宋_GB2312" w:cs="Times New Roman"/>
          <w:color w:val="auto"/>
          <w:sz w:val="32"/>
          <w:szCs w:val="32"/>
          <w:u w:val="none"/>
          <w:lang w:eastAsia="zh-CN"/>
        </w:rPr>
        <w:t>。</w:t>
      </w:r>
    </w:p>
    <w:p>
      <w:pPr>
        <w:spacing w:line="560" w:lineRule="exact"/>
        <w:ind w:firstLine="643" w:firstLineChars="200"/>
        <w:rPr>
          <w:rStyle w:val="20"/>
          <w:rFonts w:hint="eastAsia" w:ascii="仿宋_GB2312" w:hAnsi="仿宋_GB2312" w:eastAsia="仿宋_GB2312"/>
          <w:color w:val="auto"/>
          <w:sz w:val="32"/>
          <w:szCs w:val="32"/>
          <w:u w:val="none"/>
          <w:lang w:eastAsia="zh-CN"/>
        </w:rPr>
      </w:pPr>
      <w:r>
        <w:rPr>
          <w:rStyle w:val="20"/>
          <w:rFonts w:ascii="仿宋_GB2312" w:hAnsi="仿宋_GB2312" w:eastAsia="仿宋_GB2312" w:cs="Times New Roman"/>
          <w:b/>
          <w:bCs/>
          <w:color w:val="auto"/>
          <w:sz w:val="32"/>
          <w:szCs w:val="32"/>
          <w:u w:val="none"/>
        </w:rPr>
        <w:t>七是</w:t>
      </w:r>
      <w:r>
        <w:rPr>
          <w:rStyle w:val="20"/>
          <w:rFonts w:ascii="仿宋_GB2312" w:hAnsi="仿宋_GB2312" w:eastAsia="仿宋_GB2312"/>
          <w:b/>
          <w:bCs/>
          <w:color w:val="auto"/>
          <w:sz w:val="32"/>
          <w:szCs w:val="32"/>
          <w:u w:val="none"/>
        </w:rPr>
        <w:t>办学条件进一步改善</w:t>
      </w:r>
      <w:r>
        <w:rPr>
          <w:rStyle w:val="20"/>
          <w:rFonts w:hint="eastAsia" w:ascii="仿宋_GB2312" w:hAnsi="仿宋_GB2312" w:eastAsia="仿宋_GB2312"/>
          <w:b/>
          <w:bCs/>
          <w:color w:val="auto"/>
          <w:sz w:val="32"/>
          <w:szCs w:val="32"/>
          <w:u w:val="none"/>
          <w:lang w:eastAsia="zh-CN"/>
        </w:rPr>
        <w:t>。</w:t>
      </w:r>
      <w:r>
        <w:rPr>
          <w:rStyle w:val="20"/>
          <w:rFonts w:hint="eastAsia" w:ascii="仿宋_GB2312" w:hAnsi="仿宋_GB2312" w:eastAsia="仿宋_GB2312" w:cs="Times New Roman"/>
          <w:color w:val="auto"/>
          <w:sz w:val="32"/>
          <w:szCs w:val="32"/>
          <w:u w:val="none"/>
          <w:lang w:eastAsia="zh-CN"/>
        </w:rPr>
        <w:t>力争新建校区实现突破，</w:t>
      </w:r>
      <w:r>
        <w:rPr>
          <w:rStyle w:val="20"/>
          <w:rFonts w:ascii="仿宋_GB2312" w:hAnsi="仿宋_GB2312" w:eastAsia="仿宋_GB2312"/>
          <w:color w:val="auto"/>
          <w:sz w:val="32"/>
          <w:szCs w:val="32"/>
          <w:u w:val="none"/>
        </w:rPr>
        <w:t>建立适应学校发展需要的基础设施和公共服务体系。到2025年，新建校舍建筑面积</w:t>
      </w:r>
      <w:r>
        <w:rPr>
          <w:rStyle w:val="20"/>
          <w:rFonts w:hint="eastAsia" w:ascii="仿宋_GB2312" w:hAnsi="仿宋_GB2312" w:eastAsia="仿宋_GB2312" w:cs="Times New Roman"/>
          <w:color w:val="auto"/>
          <w:sz w:val="32"/>
          <w:szCs w:val="32"/>
          <w:u w:val="none"/>
          <w:lang w:val="en-US" w:eastAsia="zh-CN"/>
        </w:rPr>
        <w:t>5</w:t>
      </w:r>
      <w:r>
        <w:rPr>
          <w:rStyle w:val="20"/>
          <w:rFonts w:ascii="仿宋_GB2312" w:hAnsi="仿宋_GB2312" w:eastAsia="仿宋_GB2312"/>
          <w:color w:val="auto"/>
          <w:sz w:val="32"/>
          <w:szCs w:val="32"/>
          <w:u w:val="none"/>
        </w:rPr>
        <w:t>万平方米</w:t>
      </w:r>
      <w:r>
        <w:rPr>
          <w:rStyle w:val="20"/>
          <w:rFonts w:hint="eastAsia" w:ascii="仿宋_GB2312" w:hAnsi="仿宋_GB2312" w:eastAsia="仿宋_GB2312"/>
          <w:color w:val="auto"/>
          <w:sz w:val="32"/>
          <w:szCs w:val="32"/>
          <w:u w:val="none"/>
        </w:rPr>
        <w:t>左右</w:t>
      </w:r>
      <w:r>
        <w:rPr>
          <w:rStyle w:val="20"/>
          <w:rFonts w:ascii="仿宋_GB2312" w:hAnsi="仿宋_GB2312" w:eastAsia="仿宋_GB2312"/>
          <w:color w:val="auto"/>
          <w:sz w:val="32"/>
          <w:szCs w:val="32"/>
          <w:u w:val="none"/>
        </w:rPr>
        <w:t>，新增教学科研仪器设备值超过8000万元；新增图书超过20万册；公共服务体系更加完善</w:t>
      </w:r>
      <w:r>
        <w:rPr>
          <w:rStyle w:val="20"/>
          <w:rFonts w:hint="eastAsia" w:ascii="仿宋_GB2312" w:hAnsi="仿宋_GB2312" w:eastAsia="仿宋_GB2312" w:cs="Times New Roman"/>
          <w:color w:val="auto"/>
          <w:sz w:val="32"/>
          <w:szCs w:val="32"/>
          <w:u w:val="none"/>
          <w:lang w:eastAsia="zh-CN"/>
        </w:rPr>
        <w:t>。</w:t>
      </w:r>
    </w:p>
    <w:p>
      <w:pPr>
        <w:spacing w:line="560" w:lineRule="exact"/>
        <w:ind w:firstLine="643" w:firstLineChars="200"/>
        <w:rPr>
          <w:rFonts w:ascii="黑体" w:hAnsi="黑体" w:eastAsia="黑体" w:cs="黑体"/>
          <w:b/>
          <w:color w:val="auto"/>
          <w:sz w:val="40"/>
          <w:szCs w:val="40"/>
          <w:u w:val="none"/>
        </w:rPr>
      </w:pPr>
      <w:r>
        <w:rPr>
          <w:rStyle w:val="20"/>
          <w:rFonts w:ascii="仿宋_GB2312" w:hAnsi="仿宋_GB2312" w:eastAsia="仿宋_GB2312" w:cs="Times New Roman"/>
          <w:b/>
          <w:bCs/>
          <w:color w:val="auto"/>
          <w:sz w:val="32"/>
          <w:szCs w:val="32"/>
          <w:u w:val="none"/>
        </w:rPr>
        <w:t>八是</w:t>
      </w:r>
      <w:r>
        <w:rPr>
          <w:rStyle w:val="20"/>
          <w:rFonts w:ascii="仿宋_GB2312" w:hAnsi="仿宋_GB2312" w:eastAsia="仿宋_GB2312"/>
          <w:b/>
          <w:bCs/>
          <w:color w:val="auto"/>
          <w:sz w:val="32"/>
          <w:szCs w:val="32"/>
          <w:u w:val="none"/>
        </w:rPr>
        <w:t>依法治校能力水平提升</w:t>
      </w:r>
      <w:r>
        <w:rPr>
          <w:rStyle w:val="20"/>
          <w:rFonts w:hint="eastAsia" w:ascii="仿宋_GB2312" w:hAnsi="仿宋_GB2312" w:eastAsia="仿宋_GB2312"/>
          <w:b/>
          <w:bCs/>
          <w:color w:val="auto"/>
          <w:sz w:val="32"/>
          <w:szCs w:val="32"/>
          <w:u w:val="none"/>
          <w:lang w:eastAsia="zh-CN"/>
        </w:rPr>
        <w:t>。</w:t>
      </w:r>
      <w:r>
        <w:rPr>
          <w:rStyle w:val="20"/>
          <w:rFonts w:ascii="仿宋_GB2312" w:hAnsi="仿宋_GB2312" w:eastAsia="仿宋_GB2312"/>
          <w:color w:val="auto"/>
          <w:sz w:val="32"/>
          <w:szCs w:val="32"/>
          <w:u w:val="none"/>
        </w:rPr>
        <w:t>继续推动机构、人事、科研等重要领域和关键环节的体制机制改革，努力破解影响学校科学发展的制度瓶颈。积极探索建立“教授治学、民主管理”</w:t>
      </w:r>
      <w:r>
        <w:rPr>
          <w:rStyle w:val="20"/>
          <w:rFonts w:ascii="仿宋_GB2312" w:hAnsi="仿宋_GB2312" w:eastAsia="仿宋_GB2312"/>
          <w:b w:val="0"/>
          <w:bCs w:val="0"/>
          <w:color w:val="auto"/>
          <w:sz w:val="32"/>
          <w:szCs w:val="32"/>
          <w:u w:val="none"/>
        </w:rPr>
        <w:t>的导向机制和有效实现形式，推进治理体系和治理能力现代化，形成与</w:t>
      </w:r>
      <w:r>
        <w:rPr>
          <w:rStyle w:val="20"/>
          <w:rFonts w:ascii="仿宋_GB2312" w:hAnsi="仿宋_GB2312" w:eastAsia="仿宋_GB2312"/>
          <w:color w:val="auto"/>
          <w:sz w:val="32"/>
          <w:szCs w:val="32"/>
          <w:u w:val="none"/>
        </w:rPr>
        <w:t>高水平特色</w:t>
      </w:r>
      <w:r>
        <w:rPr>
          <w:rStyle w:val="20"/>
          <w:rFonts w:hint="eastAsia" w:ascii="仿宋_GB2312" w:hAnsi="仿宋_GB2312" w:eastAsia="仿宋_GB2312"/>
          <w:color w:val="auto"/>
          <w:sz w:val="32"/>
          <w:szCs w:val="32"/>
          <w:u w:val="none"/>
          <w:lang w:eastAsia="zh-CN"/>
        </w:rPr>
        <w:t>型大学</w:t>
      </w:r>
      <w:r>
        <w:rPr>
          <w:rStyle w:val="20"/>
          <w:rFonts w:ascii="仿宋_GB2312" w:hAnsi="仿宋_GB2312" w:eastAsia="仿宋_GB2312"/>
          <w:b w:val="0"/>
          <w:bCs w:val="0"/>
          <w:color w:val="auto"/>
          <w:sz w:val="32"/>
          <w:szCs w:val="32"/>
          <w:u w:val="none"/>
        </w:rPr>
        <w:t>相适应的高效优质管理和服务体系。</w:t>
      </w:r>
      <w:bookmarkStart w:id="149" w:name="_Toc23940"/>
      <w:bookmarkStart w:id="150" w:name="_Toc17264"/>
      <w:bookmarkStart w:id="151" w:name="_Toc17704"/>
      <w:bookmarkStart w:id="152" w:name="_Toc22671"/>
      <w:bookmarkStart w:id="153" w:name="_Toc23857"/>
      <w:bookmarkStart w:id="154" w:name="_Toc23515"/>
      <w:bookmarkStart w:id="155" w:name="_Toc24195"/>
      <w:bookmarkStart w:id="156" w:name="_Toc6122"/>
      <w:bookmarkStart w:id="157" w:name="_Toc22320"/>
      <w:bookmarkStart w:id="158" w:name="_Toc24023"/>
      <w:bookmarkStart w:id="159" w:name="_Toc5486"/>
      <w:bookmarkStart w:id="160" w:name="_Toc22798"/>
      <w:bookmarkStart w:id="161" w:name="_Toc2854"/>
      <w:bookmarkStart w:id="162" w:name="_Toc26875"/>
      <w:bookmarkStart w:id="163" w:name="_Toc6325"/>
      <w:bookmarkStart w:id="164" w:name="_Toc16082"/>
      <w:bookmarkStart w:id="165" w:name="_Toc17349"/>
      <w:bookmarkStart w:id="166" w:name="_Toc28486"/>
      <w:bookmarkStart w:id="167" w:name="_Toc15364"/>
      <w:bookmarkStart w:id="168" w:name="_Toc7864"/>
      <w:bookmarkStart w:id="169" w:name="_Toc12991"/>
      <w:bookmarkStart w:id="170" w:name="_Toc21874"/>
      <w:bookmarkStart w:id="171" w:name="_Toc15226"/>
      <w:bookmarkStart w:id="172" w:name="_Toc27441"/>
      <w:bookmarkStart w:id="173" w:name="_Toc17510"/>
      <w:bookmarkStart w:id="174" w:name="_Toc22138"/>
      <w:bookmarkStart w:id="175" w:name="_Toc22011"/>
    </w:p>
    <w:p>
      <w:pPr>
        <w:rPr>
          <w:rFonts w:ascii="黑体" w:hAnsi="黑体" w:eastAsia="黑体" w:cs="黑体"/>
          <w:b/>
          <w:color w:val="auto"/>
          <w:sz w:val="40"/>
          <w:szCs w:val="40"/>
          <w:u w:val="none"/>
        </w:rPr>
      </w:pPr>
      <w:r>
        <w:rPr>
          <w:rFonts w:hint="eastAsia" w:ascii="黑体" w:hAnsi="黑体" w:eastAsia="黑体" w:cs="黑体"/>
          <w:b/>
          <w:color w:val="auto"/>
          <w:sz w:val="40"/>
          <w:szCs w:val="40"/>
          <w:u w:val="none"/>
        </w:rPr>
        <w:br w:type="page"/>
      </w:r>
    </w:p>
    <w:p>
      <w:pPr>
        <w:pStyle w:val="2"/>
        <w:spacing w:line="560" w:lineRule="exact"/>
        <w:jc w:val="center"/>
        <w:rPr>
          <w:rFonts w:ascii="黑体" w:hAnsi="黑体" w:eastAsia="黑体" w:cs="黑体"/>
          <w:color w:val="auto"/>
          <w:sz w:val="40"/>
          <w:szCs w:val="40"/>
          <w:u w:val="none"/>
        </w:rPr>
      </w:pPr>
      <w:bookmarkStart w:id="176" w:name="_Toc17664"/>
      <w:bookmarkStart w:id="177" w:name="_Toc18314"/>
      <w:bookmarkStart w:id="178" w:name="_Toc19079"/>
      <w:bookmarkStart w:id="179" w:name="_Toc31379"/>
      <w:r>
        <w:rPr>
          <w:rFonts w:hint="eastAsia" w:ascii="黑体" w:hAnsi="黑体" w:eastAsia="黑体" w:cs="黑体"/>
          <w:color w:val="auto"/>
          <w:sz w:val="40"/>
          <w:szCs w:val="40"/>
          <w:u w:val="none"/>
        </w:rPr>
        <w:t>三、重点建设工程</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76"/>
      <w:bookmarkEnd w:id="177"/>
      <w:bookmarkEnd w:id="178"/>
      <w:bookmarkEnd w:id="179"/>
    </w:p>
    <w:p>
      <w:pPr>
        <w:spacing w:line="560" w:lineRule="exact"/>
        <w:jc w:val="center"/>
        <w:rPr>
          <w:rStyle w:val="20"/>
          <w:rFonts w:ascii="黑体" w:hAnsi="黑体" w:eastAsia="黑体"/>
          <w:color w:val="auto"/>
          <w:sz w:val="32"/>
          <w:szCs w:val="32"/>
          <w:u w:val="none"/>
        </w:rPr>
      </w:pPr>
    </w:p>
    <w:p>
      <w:pPr>
        <w:pStyle w:val="3"/>
        <w:spacing w:line="560" w:lineRule="exact"/>
        <w:ind w:firstLine="643" w:firstLineChars="200"/>
        <w:rPr>
          <w:rFonts w:ascii="楷体" w:hAnsi="楷体" w:eastAsia="楷体" w:cs="楷体"/>
          <w:color w:val="auto"/>
          <w:szCs w:val="32"/>
          <w:u w:val="none"/>
        </w:rPr>
      </w:pPr>
      <w:bookmarkStart w:id="180" w:name="_Toc8812"/>
      <w:bookmarkStart w:id="181" w:name="_Toc20942"/>
      <w:bookmarkStart w:id="182" w:name="_Toc8040"/>
      <w:bookmarkStart w:id="183" w:name="_Toc15111"/>
      <w:bookmarkStart w:id="184" w:name="_Toc11019"/>
      <w:bookmarkStart w:id="185" w:name="_Toc7318"/>
      <w:bookmarkStart w:id="186" w:name="_Toc15696"/>
      <w:bookmarkStart w:id="187" w:name="_Toc22614"/>
      <w:bookmarkStart w:id="188" w:name="_Toc3829"/>
      <w:bookmarkStart w:id="189" w:name="_Toc8724"/>
      <w:bookmarkStart w:id="190" w:name="_Toc30836"/>
      <w:bookmarkStart w:id="191" w:name="_Toc8192"/>
      <w:bookmarkStart w:id="192" w:name="_Toc22150"/>
      <w:bookmarkStart w:id="193" w:name="_Toc25630"/>
      <w:bookmarkStart w:id="194" w:name="_Toc10605"/>
      <w:bookmarkStart w:id="195" w:name="_Toc22133"/>
      <w:bookmarkStart w:id="196" w:name="_Toc2388"/>
      <w:bookmarkStart w:id="197" w:name="_Toc18182"/>
      <w:bookmarkStart w:id="198" w:name="_Toc20644"/>
      <w:bookmarkStart w:id="199" w:name="_Toc28331"/>
      <w:r>
        <w:rPr>
          <w:rFonts w:hint="eastAsia" w:ascii="楷体" w:hAnsi="楷体" w:eastAsia="楷体" w:cs="楷体"/>
          <w:color w:val="auto"/>
          <w:szCs w:val="32"/>
          <w:u w:val="none"/>
        </w:rPr>
        <w:t>（</w:t>
      </w:r>
      <w:r>
        <w:rPr>
          <w:rFonts w:hint="eastAsia" w:ascii="楷体" w:hAnsi="楷体" w:eastAsia="楷体" w:cs="楷体"/>
          <w:color w:val="auto"/>
          <w:szCs w:val="32"/>
          <w:u w:val="none"/>
          <w:lang w:eastAsia="zh-CN"/>
        </w:rPr>
        <w:t>一</w:t>
      </w:r>
      <w:r>
        <w:rPr>
          <w:rFonts w:hint="eastAsia" w:ascii="楷体" w:hAnsi="楷体" w:eastAsia="楷体" w:cs="楷体"/>
          <w:color w:val="auto"/>
          <w:szCs w:val="32"/>
          <w:u w:val="none"/>
        </w:rPr>
        <w:t>）立德树人提升工程</w:t>
      </w:r>
      <w:bookmarkEnd w:id="180"/>
      <w:bookmarkEnd w:id="181"/>
      <w:bookmarkEnd w:id="182"/>
      <w:bookmarkEnd w:id="183"/>
      <w:bookmarkEnd w:id="184"/>
      <w:bookmarkEnd w:id="185"/>
      <w:bookmarkEnd w:id="186"/>
      <w:bookmarkEnd w:id="187"/>
      <w:bookmarkEnd w:id="188"/>
      <w:bookmarkEnd w:id="189"/>
    </w:p>
    <w:p>
      <w:pPr>
        <w:spacing w:line="560" w:lineRule="exact"/>
        <w:ind w:firstLine="643" w:firstLineChars="200"/>
        <w:rPr>
          <w:rFonts w:ascii="仿宋_GB2312" w:hAnsi="宋体" w:eastAsia="仿宋_GB2312"/>
          <w:b/>
          <w:color w:val="auto"/>
          <w:sz w:val="32"/>
          <w:szCs w:val="32"/>
          <w:u w:val="none"/>
        </w:rPr>
      </w:pPr>
      <w:r>
        <w:rPr>
          <w:rFonts w:hint="eastAsia" w:ascii="仿宋_GB2312" w:hAnsi="宋体" w:eastAsia="仿宋_GB2312"/>
          <w:b/>
          <w:color w:val="auto"/>
          <w:sz w:val="32"/>
          <w:szCs w:val="32"/>
          <w:u w:val="none"/>
        </w:rPr>
        <w:t>1.建设目标</w:t>
      </w:r>
    </w:p>
    <w:p>
      <w:pPr>
        <w:spacing w:line="560" w:lineRule="exact"/>
        <w:ind w:firstLine="640" w:firstLineChars="200"/>
        <w:rPr>
          <w:rFonts w:ascii="仿宋_GB2312" w:hAnsi="宋体" w:eastAsia="仿宋_GB2312" w:cs="宋体"/>
          <w:b w:val="0"/>
          <w:bCs w:val="0"/>
          <w:color w:val="auto"/>
          <w:sz w:val="32"/>
          <w:szCs w:val="32"/>
          <w:u w:val="none"/>
        </w:rPr>
      </w:pPr>
      <w:r>
        <w:rPr>
          <w:rFonts w:hint="eastAsia" w:ascii="仿宋_GB2312" w:hAnsi="宋体" w:eastAsia="仿宋_GB2312" w:cs="宋体"/>
          <w:color w:val="auto"/>
          <w:sz w:val="32"/>
          <w:szCs w:val="32"/>
          <w:u w:val="none"/>
        </w:rPr>
        <w:t>紧紧围绕立德树人根本任务，立足学校在新闻出版业育人优势，以理想信念教育为核心，以社会主义核心价值观为引领，以全面提高人才培养能力为关键，</w:t>
      </w:r>
      <w:r>
        <w:rPr>
          <w:rStyle w:val="20"/>
          <w:rFonts w:ascii="仿宋_GB2312" w:hAnsi="仿宋_GB2312" w:eastAsia="仿宋_GB2312"/>
          <w:color w:val="auto"/>
          <w:sz w:val="32"/>
          <w:szCs w:val="32"/>
          <w:u w:val="none"/>
        </w:rPr>
        <w:t>深化“三全育人”综合改革</w:t>
      </w:r>
      <w:r>
        <w:rPr>
          <w:rStyle w:val="20"/>
          <w:rFonts w:ascii="仿宋_GB2312" w:hAnsi="宋体" w:eastAsia="仿宋_GB2312"/>
          <w:color w:val="auto"/>
          <w:sz w:val="32"/>
          <w:szCs w:val="32"/>
          <w:u w:val="none"/>
        </w:rPr>
        <w:t>，</w:t>
      </w:r>
      <w:r>
        <w:rPr>
          <w:rStyle w:val="20"/>
          <w:rFonts w:ascii="仿宋_GB2312" w:hAnsi="仿宋_GB2312" w:eastAsia="仿宋_GB2312"/>
          <w:color w:val="auto"/>
          <w:sz w:val="32"/>
          <w:szCs w:val="32"/>
          <w:u w:val="none"/>
        </w:rPr>
        <w:t>坚持“五育并举”，</w:t>
      </w:r>
      <w:r>
        <w:rPr>
          <w:rStyle w:val="20"/>
          <w:rFonts w:hint="eastAsia" w:ascii="仿宋_GB2312" w:hAnsi="宋体" w:eastAsia="仿宋_GB2312"/>
          <w:b w:val="0"/>
          <w:bCs w:val="0"/>
          <w:color w:val="auto"/>
          <w:sz w:val="32"/>
          <w:szCs w:val="32"/>
          <w:u w:val="none"/>
        </w:rPr>
        <w:t>构建十大育人体系，将思想政治教育融入教育教学全过程</w:t>
      </w:r>
      <w:r>
        <w:rPr>
          <w:rStyle w:val="20"/>
          <w:rFonts w:hint="eastAsia" w:ascii="仿宋_GB2312" w:hAnsi="宋体" w:eastAsia="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eastAsia="zh-CN"/>
        </w:rPr>
        <w:t>推动习近平新时代中国特色社会主义思想“进教材、进课堂、进头脑”</w:t>
      </w:r>
      <w:r>
        <w:rPr>
          <w:rFonts w:hint="eastAsia" w:ascii="仿宋_GB2312" w:hAnsi="宋体" w:eastAsia="仿宋_GB2312" w:cs="宋体"/>
          <w:b w:val="0"/>
          <w:bCs w:val="0"/>
          <w:color w:val="auto"/>
          <w:u w:val="none"/>
        </w:rPr>
        <w:t>。</w:t>
      </w:r>
    </w:p>
    <w:p>
      <w:pPr>
        <w:spacing w:line="560" w:lineRule="exact"/>
        <w:ind w:firstLine="643" w:firstLineChars="200"/>
        <w:rPr>
          <w:rFonts w:ascii="仿宋_GB2312" w:hAnsi="仿宋_GB2312" w:eastAsia="仿宋_GB2312" w:cs="仿宋_GB2312"/>
          <w:b/>
          <w:color w:val="auto"/>
          <w:sz w:val="32"/>
          <w:szCs w:val="32"/>
          <w:u w:val="none"/>
        </w:rPr>
      </w:pPr>
      <w:r>
        <w:rPr>
          <w:rFonts w:hint="eastAsia" w:ascii="仿宋_GB2312" w:hAnsi="仿宋_GB2312" w:eastAsia="仿宋_GB2312" w:cs="仿宋_GB2312"/>
          <w:b/>
          <w:color w:val="auto"/>
          <w:sz w:val="32"/>
          <w:szCs w:val="32"/>
          <w:u w:val="none"/>
        </w:rPr>
        <w:t>2.具体任务</w:t>
      </w:r>
    </w:p>
    <w:p>
      <w:pPr>
        <w:spacing w:line="560" w:lineRule="exact"/>
        <w:ind w:firstLine="643"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color w:val="auto"/>
          <w:sz w:val="32"/>
          <w:szCs w:val="32"/>
          <w:u w:val="none"/>
        </w:rPr>
        <w:t>（1）深化“三全育人”综合改革。</w:t>
      </w:r>
      <w:r>
        <w:rPr>
          <w:rFonts w:hint="eastAsia" w:ascii="仿宋_GB2312" w:hAnsi="仿宋_GB2312" w:eastAsia="仿宋_GB2312" w:cs="仿宋_GB2312"/>
          <w:color w:val="auto"/>
          <w:sz w:val="32"/>
          <w:szCs w:val="32"/>
          <w:u w:val="none"/>
        </w:rPr>
        <w:t>将思想政治工作贯穿学科体系、教学体系、教材体系和管理体系，</w:t>
      </w:r>
      <w:r>
        <w:rPr>
          <w:rFonts w:hint="eastAsia" w:ascii="仿宋_GB2312" w:hAnsi="仿宋_GB2312" w:eastAsia="仿宋_GB2312" w:cs="仿宋_GB2312"/>
          <w:color w:val="auto"/>
          <w:kern w:val="0"/>
          <w:sz w:val="32"/>
          <w:szCs w:val="32"/>
          <w:u w:val="none"/>
        </w:rPr>
        <w:t>构建“</w:t>
      </w:r>
      <w:r>
        <w:rPr>
          <w:rFonts w:hint="eastAsia" w:ascii="仿宋_GB2312" w:hAnsi="仿宋_GB2312" w:eastAsia="仿宋_GB2312" w:cs="仿宋_GB2312"/>
          <w:color w:val="auto"/>
          <w:sz w:val="32"/>
          <w:szCs w:val="32"/>
          <w:u w:val="none"/>
        </w:rPr>
        <w:t>大思政</w:t>
      </w:r>
      <w:r>
        <w:rPr>
          <w:rFonts w:hint="eastAsia" w:ascii="仿宋_GB2312" w:hAnsi="仿宋_GB2312" w:eastAsia="仿宋_GB2312" w:cs="仿宋_GB2312"/>
          <w:color w:val="auto"/>
          <w:kern w:val="0"/>
          <w:sz w:val="32"/>
          <w:szCs w:val="32"/>
          <w:u w:val="none"/>
        </w:rPr>
        <w:t>”</w:t>
      </w:r>
      <w:r>
        <w:rPr>
          <w:rFonts w:hint="eastAsia" w:ascii="仿宋_GB2312" w:hAnsi="仿宋_GB2312" w:eastAsia="仿宋_GB2312" w:cs="仿宋_GB2312"/>
          <w:color w:val="auto"/>
          <w:sz w:val="32"/>
          <w:szCs w:val="32"/>
          <w:u w:val="none"/>
        </w:rPr>
        <w:t>工作格局，</w:t>
      </w:r>
      <w:r>
        <w:rPr>
          <w:rFonts w:hint="eastAsia" w:ascii="仿宋_GB2312" w:hAnsi="宋体" w:eastAsia="仿宋_GB2312" w:cs="宋体"/>
          <w:color w:val="auto"/>
          <w:sz w:val="32"/>
          <w:szCs w:val="32"/>
          <w:u w:val="none"/>
        </w:rPr>
        <w:t>健全“三全育人”工作体系和</w:t>
      </w:r>
      <w:r>
        <w:rPr>
          <w:rFonts w:hint="eastAsia" w:ascii="仿宋_GB2312" w:hAnsi="仿宋_GB2312" w:eastAsia="仿宋_GB2312" w:cs="仿宋_GB2312"/>
          <w:color w:val="auto"/>
          <w:sz w:val="32"/>
          <w:szCs w:val="32"/>
          <w:u w:val="none"/>
        </w:rPr>
        <w:t>保障机制，建立学生成长环境评价反馈机制，开展“三全育人”体验式考察，实施“三全育人”季度点评。适时召开“三全育人”阶段性交流推进会。汇聚行业和首都优势资源，转化为促进学生健康成长的</w:t>
      </w:r>
      <w:r>
        <w:rPr>
          <w:rFonts w:hint="eastAsia" w:ascii="仿宋_GB2312" w:hAnsi="仿宋_GB2312" w:eastAsia="仿宋_GB2312" w:cs="仿宋_GB2312"/>
          <w:color w:val="auto"/>
          <w:sz w:val="32"/>
          <w:szCs w:val="32"/>
          <w:u w:val="none"/>
          <w:lang w:eastAsia="zh-CN"/>
        </w:rPr>
        <w:t>强大</w:t>
      </w:r>
      <w:r>
        <w:rPr>
          <w:rFonts w:hint="eastAsia" w:ascii="仿宋_GB2312" w:hAnsi="仿宋_GB2312" w:eastAsia="仿宋_GB2312" w:cs="仿宋_GB2312"/>
          <w:color w:val="auto"/>
          <w:sz w:val="32"/>
          <w:szCs w:val="32"/>
          <w:u w:val="none"/>
        </w:rPr>
        <w:t>动能</w:t>
      </w:r>
      <w:r>
        <w:rPr>
          <w:rFonts w:hint="eastAsia" w:ascii="仿宋_GB2312" w:hAnsi="仿宋_GB2312" w:eastAsia="仿宋_GB2312" w:cs="仿宋_GB2312"/>
          <w:color w:val="auto"/>
          <w:sz w:val="32"/>
          <w:szCs w:val="32"/>
          <w:u w:val="none"/>
          <w:lang w:eastAsia="zh-CN"/>
        </w:rPr>
        <w:t>。</w:t>
      </w:r>
    </w:p>
    <w:p>
      <w:pPr>
        <w:spacing w:line="560" w:lineRule="exact"/>
        <w:ind w:firstLine="643"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b/>
          <w:color w:val="auto"/>
          <w:sz w:val="32"/>
          <w:szCs w:val="32"/>
          <w:u w:val="none"/>
        </w:rPr>
        <w:t>（2）</w:t>
      </w:r>
      <w:r>
        <w:rPr>
          <w:rFonts w:hint="eastAsia" w:ascii="仿宋_GB2312" w:hAnsi="仿宋_GB2312" w:eastAsia="仿宋_GB2312" w:cs="仿宋_GB2312"/>
          <w:b/>
          <w:color w:val="auto"/>
          <w:sz w:val="32"/>
          <w:szCs w:val="32"/>
          <w:u w:val="none"/>
          <w:lang w:eastAsia="zh-CN"/>
        </w:rPr>
        <w:t>深化开展思想政治教育</w:t>
      </w:r>
      <w:r>
        <w:rPr>
          <w:rFonts w:hint="eastAsia" w:ascii="仿宋_GB2312" w:hAnsi="仿宋_GB2312" w:eastAsia="仿宋_GB2312" w:cs="仿宋_GB2312"/>
          <w:b/>
          <w:color w:val="auto"/>
          <w:sz w:val="32"/>
          <w:szCs w:val="32"/>
          <w:u w:val="none"/>
        </w:rPr>
        <w:t>。</w:t>
      </w:r>
      <w:r>
        <w:rPr>
          <w:rFonts w:hint="eastAsia" w:ascii="仿宋_GB2312" w:hAnsi="仿宋_GB2312" w:eastAsia="仿宋_GB2312" w:cs="仿宋_GB2312"/>
          <w:color w:val="auto"/>
          <w:sz w:val="32"/>
          <w:szCs w:val="32"/>
          <w:u w:val="none"/>
        </w:rPr>
        <w:t>深入推进学校思想政治理论课创优行动计划和课程思政建设行动计划，深化课堂教学改革，创</w:t>
      </w:r>
      <w:r>
        <w:rPr>
          <w:rFonts w:hint="eastAsia" w:ascii="仿宋_GB2312" w:hAnsi="仿宋_GB2312" w:eastAsia="仿宋_GB2312" w:cs="仿宋_GB2312"/>
          <w:b w:val="0"/>
          <w:bCs w:val="0"/>
          <w:color w:val="auto"/>
          <w:sz w:val="32"/>
          <w:szCs w:val="32"/>
          <w:u w:val="none"/>
        </w:rPr>
        <w:t>新思想政治课教学模式，实现思想政治理论课从教材体系向教学体系、从知识体系向信仰体系转变</w:t>
      </w:r>
      <w:r>
        <w:rPr>
          <w:rFonts w:hint="eastAsia" w:ascii="仿宋_GB2312" w:hAnsi="仿宋_GB2312" w:eastAsia="仿宋_GB2312" w:cs="仿宋_GB2312"/>
          <w:b w:val="0"/>
          <w:bCs w:val="0"/>
          <w:color w:val="auto"/>
          <w:sz w:val="32"/>
          <w:szCs w:val="32"/>
          <w:u w:val="none"/>
          <w:lang w:eastAsia="zh-CN"/>
        </w:rPr>
        <w:t>，推动专业教育与思政教育有机融合，进一步加强研究生专职辅导员建设。</w:t>
      </w:r>
      <w:r>
        <w:rPr>
          <w:rFonts w:hint="eastAsia" w:ascii="仿宋_GB2312" w:hAnsi="仿宋_GB2312" w:eastAsia="仿宋_GB2312" w:cs="仿宋_GB2312"/>
          <w:b w:val="0"/>
          <w:bCs w:val="0"/>
          <w:color w:val="auto"/>
          <w:sz w:val="32"/>
          <w:szCs w:val="32"/>
          <w:u w:val="none"/>
        </w:rPr>
        <w:t>支持相</w:t>
      </w:r>
      <w:r>
        <w:rPr>
          <w:rFonts w:hint="eastAsia" w:ascii="仿宋_GB2312" w:hAnsi="仿宋_GB2312" w:eastAsia="仿宋_GB2312" w:cs="仿宋_GB2312"/>
          <w:color w:val="auto"/>
          <w:sz w:val="32"/>
          <w:szCs w:val="32"/>
          <w:u w:val="none"/>
        </w:rPr>
        <w:t>关专业依据课程特点制定课程思政实施计划，发挥各类课程协同效应，建设教书育人“最美课堂”，参与“十百千”工程，打造课程思政建设优秀教学团队和示范课程。</w:t>
      </w:r>
    </w:p>
    <w:p>
      <w:pPr>
        <w:spacing w:line="560" w:lineRule="exact"/>
        <w:ind w:firstLine="643"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b/>
          <w:color w:val="auto"/>
          <w:sz w:val="32"/>
          <w:szCs w:val="32"/>
          <w:u w:val="none"/>
        </w:rPr>
        <w:t>（3）大力推进爱国主义教育。</w:t>
      </w:r>
      <w:r>
        <w:rPr>
          <w:rFonts w:hint="eastAsia" w:ascii="仿宋_GB2312" w:hAnsi="仿宋_GB2312" w:eastAsia="仿宋_GB2312" w:cs="仿宋_GB2312"/>
          <w:color w:val="auto"/>
          <w:sz w:val="32"/>
          <w:szCs w:val="32"/>
          <w:u w:val="none"/>
        </w:rPr>
        <w:t>深入贯彻《新时代爱国主义教育实施纲要》精神，深入开展中国特色社会主义和中国梦教育、国情教育、“四史”教育、形势政策教育，以及持久生动的</w:t>
      </w:r>
      <w:r>
        <w:rPr>
          <w:rFonts w:ascii="仿宋_GB2312" w:hAnsi="仿宋_GB2312" w:eastAsia="仿宋_GB2312" w:cs="仿宋_GB2312"/>
          <w:color w:val="auto"/>
          <w:sz w:val="32"/>
          <w:szCs w:val="32"/>
          <w:u w:val="none"/>
        </w:rPr>
        <w:t>爱国主义教育</w:t>
      </w:r>
      <w:r>
        <w:rPr>
          <w:rFonts w:hint="eastAsia" w:ascii="仿宋_GB2312" w:hAnsi="仿宋_GB2312" w:eastAsia="仿宋_GB2312" w:cs="仿宋_GB2312"/>
          <w:color w:val="auto"/>
          <w:sz w:val="32"/>
          <w:szCs w:val="32"/>
          <w:u w:val="none"/>
        </w:rPr>
        <w:t>，把新时代爱国主义教育、社会主义核心价值观教育融入立德树人全过程，激发广大学生的责任担当，着眼培养始终高扬爱国主义旗帜、具有爱国之情、砥砺强国之志、实践</w:t>
      </w:r>
      <w:r>
        <w:rPr>
          <w:rFonts w:hint="eastAsia" w:ascii="仿宋_GB2312" w:hAnsi="仿宋_GB2312" w:eastAsia="仿宋_GB2312" w:cs="仿宋_GB2312"/>
          <w:color w:val="auto"/>
          <w:sz w:val="32"/>
          <w:szCs w:val="32"/>
          <w:u w:val="none"/>
          <w:lang w:eastAsia="zh-CN"/>
        </w:rPr>
        <w:t>报</w:t>
      </w:r>
      <w:r>
        <w:rPr>
          <w:rFonts w:hint="eastAsia" w:ascii="仿宋_GB2312" w:hAnsi="仿宋_GB2312" w:eastAsia="仿宋_GB2312" w:cs="仿宋_GB2312"/>
          <w:color w:val="auto"/>
          <w:sz w:val="32"/>
          <w:szCs w:val="32"/>
          <w:u w:val="none"/>
        </w:rPr>
        <w:t>国之行，担当民族复兴大任的时代新人。</w:t>
      </w:r>
    </w:p>
    <w:p>
      <w:pPr>
        <w:pStyle w:val="3"/>
        <w:spacing w:line="560" w:lineRule="exact"/>
        <w:ind w:firstLine="643" w:firstLineChars="200"/>
        <w:rPr>
          <w:rFonts w:ascii="楷体_GB2312" w:hAnsi="楷体_GB2312" w:eastAsia="楷体_GB2312" w:cs="楷体_GB2312"/>
          <w:color w:val="auto"/>
          <w:u w:val="none"/>
        </w:rPr>
      </w:pPr>
      <w:bookmarkStart w:id="200" w:name="_Toc8650"/>
      <w:bookmarkStart w:id="201" w:name="_Toc21855"/>
      <w:bookmarkStart w:id="202" w:name="_Toc31559"/>
      <w:bookmarkStart w:id="203" w:name="_Toc30639"/>
      <w:bookmarkStart w:id="204" w:name="_Toc7665"/>
      <w:bookmarkStart w:id="205" w:name="_Toc24604"/>
      <w:bookmarkStart w:id="206" w:name="_Toc30902"/>
      <w:bookmarkStart w:id="207" w:name="_Toc2636"/>
      <w:bookmarkStart w:id="208" w:name="_Toc26528"/>
      <w:bookmarkStart w:id="209" w:name="_Toc11463"/>
      <w:bookmarkStart w:id="210" w:name="_Toc24945"/>
      <w:bookmarkStart w:id="211" w:name="_Toc17361"/>
      <w:bookmarkStart w:id="212" w:name="_Toc23657"/>
      <w:bookmarkStart w:id="213" w:name="_Toc8869"/>
      <w:bookmarkStart w:id="214" w:name="_Toc21521"/>
      <w:bookmarkStart w:id="215" w:name="_Toc28785"/>
      <w:bookmarkStart w:id="216" w:name="_Toc7203"/>
      <w:bookmarkStart w:id="217" w:name="_Toc23393"/>
      <w:bookmarkStart w:id="218" w:name="_Toc22132"/>
      <w:bookmarkStart w:id="219" w:name="_Toc31262"/>
      <w:bookmarkStart w:id="220" w:name="_Toc5131"/>
      <w:bookmarkStart w:id="221" w:name="_Toc7755"/>
      <w:bookmarkStart w:id="222" w:name="_Toc13666"/>
      <w:bookmarkStart w:id="223" w:name="_Toc13472"/>
      <w:bookmarkStart w:id="224" w:name="_Toc26041"/>
      <w:bookmarkStart w:id="225" w:name="_Toc18594"/>
      <w:bookmarkStart w:id="226" w:name="_Toc5726"/>
      <w:bookmarkStart w:id="227" w:name="_Toc21611"/>
      <w:bookmarkStart w:id="228" w:name="_Toc14824"/>
      <w:bookmarkStart w:id="229" w:name="_Toc23531"/>
      <w:bookmarkStart w:id="230" w:name="_Toc2778"/>
      <w:r>
        <w:rPr>
          <w:rFonts w:hint="eastAsia" w:ascii="楷体_GB2312" w:hAnsi="楷体_GB2312" w:eastAsia="楷体_GB2312" w:cs="楷体_GB2312"/>
          <w:color w:val="auto"/>
          <w:u w:val="none"/>
        </w:rPr>
        <w:t>（</w:t>
      </w:r>
      <w:r>
        <w:rPr>
          <w:rFonts w:hint="eastAsia" w:ascii="楷体_GB2312" w:hAnsi="楷体_GB2312" w:eastAsia="楷体_GB2312" w:cs="楷体_GB2312"/>
          <w:color w:val="auto"/>
          <w:u w:val="none"/>
          <w:lang w:eastAsia="zh-CN"/>
        </w:rPr>
        <w:t>二</w:t>
      </w:r>
      <w:r>
        <w:rPr>
          <w:rFonts w:hint="eastAsia" w:ascii="楷体_GB2312" w:hAnsi="楷体_GB2312" w:eastAsia="楷体_GB2312" w:cs="楷体_GB2312"/>
          <w:color w:val="auto"/>
          <w:u w:val="none"/>
        </w:rPr>
        <w:t>）学科建设提升工程</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pPr>
        <w:spacing w:line="560" w:lineRule="exact"/>
        <w:ind w:firstLine="643" w:firstLineChars="200"/>
        <w:rPr>
          <w:rStyle w:val="20"/>
          <w:rFonts w:ascii="仿宋_GB2312" w:hAnsi="仿宋_GB2312" w:eastAsia="仿宋_GB2312" w:cs="仿宋_GB2312"/>
          <w:b/>
          <w:bCs/>
          <w:color w:val="auto"/>
          <w:sz w:val="32"/>
          <w:szCs w:val="32"/>
          <w:u w:val="none"/>
        </w:rPr>
      </w:pPr>
      <w:r>
        <w:rPr>
          <w:rStyle w:val="20"/>
          <w:rFonts w:ascii="仿宋_GB2312" w:hAnsi="仿宋_GB2312" w:eastAsia="仿宋_GB2312" w:cs="仿宋_GB2312"/>
          <w:b/>
          <w:bCs/>
          <w:color w:val="auto"/>
          <w:sz w:val="32"/>
          <w:szCs w:val="32"/>
          <w:u w:val="none"/>
        </w:rPr>
        <w:t>1.建设目标</w:t>
      </w:r>
    </w:p>
    <w:p>
      <w:pPr>
        <w:spacing w:line="560" w:lineRule="exact"/>
        <w:ind w:firstLine="640" w:firstLineChars="200"/>
        <w:rPr>
          <w:rStyle w:val="20"/>
          <w:rFonts w:ascii="仿宋_GB2312" w:hAnsi="仿宋_GB2312" w:eastAsia="仿宋_GB2312"/>
          <w:color w:val="auto"/>
          <w:sz w:val="32"/>
          <w:szCs w:val="32"/>
          <w:u w:val="none"/>
        </w:rPr>
      </w:pPr>
      <w:r>
        <w:rPr>
          <w:rStyle w:val="20"/>
          <w:rFonts w:hint="eastAsia" w:ascii="仿宋_GB2312" w:hAnsi="仿宋_GB2312" w:eastAsia="仿宋_GB2312" w:cs="仿宋_GB2312"/>
          <w:bCs/>
          <w:color w:val="auto"/>
          <w:sz w:val="32"/>
          <w:szCs w:val="32"/>
          <w:u w:val="none"/>
          <w:lang w:eastAsia="zh-CN"/>
        </w:rPr>
        <w:t>根据“</w:t>
      </w:r>
      <w:r>
        <w:rPr>
          <w:rStyle w:val="20"/>
          <w:rFonts w:ascii="仿宋_GB2312" w:hAnsi="仿宋_GB2312" w:eastAsia="仿宋_GB2312" w:cs="仿宋_GB2312"/>
          <w:bCs/>
          <w:color w:val="auto"/>
          <w:sz w:val="32"/>
          <w:szCs w:val="32"/>
          <w:u w:val="none"/>
        </w:rPr>
        <w:t>择优扶持、重点突破”原则，</w:t>
      </w:r>
      <w:r>
        <w:rPr>
          <w:rStyle w:val="20"/>
          <w:rFonts w:hint="eastAsia" w:ascii="仿宋_GB2312" w:hAnsi="仿宋_GB2312" w:eastAsia="仿宋_GB2312" w:cs="仿宋_GB2312"/>
          <w:bCs/>
          <w:color w:val="auto"/>
          <w:sz w:val="32"/>
          <w:szCs w:val="32"/>
          <w:u w:val="none"/>
          <w:lang w:eastAsia="zh-CN"/>
        </w:rPr>
        <w:t>调整优化学科结构，创新</w:t>
      </w:r>
      <w:r>
        <w:rPr>
          <w:rStyle w:val="20"/>
          <w:rFonts w:ascii="仿宋_GB2312" w:hAnsi="仿宋_GB2312" w:eastAsia="仿宋_GB2312" w:cs="仿宋_GB2312"/>
          <w:bCs/>
          <w:color w:val="auto"/>
          <w:sz w:val="32"/>
          <w:szCs w:val="32"/>
          <w:u w:val="none"/>
        </w:rPr>
        <w:t>推进学科分层分类建设</w:t>
      </w:r>
      <w:r>
        <w:rPr>
          <w:rStyle w:val="20"/>
          <w:rFonts w:hint="eastAsia" w:ascii="仿宋_GB2312" w:hAnsi="仿宋_GB2312" w:eastAsia="仿宋_GB2312" w:cs="仿宋_GB2312"/>
          <w:bCs/>
          <w:color w:val="auto"/>
          <w:sz w:val="32"/>
          <w:szCs w:val="32"/>
          <w:u w:val="none"/>
        </w:rPr>
        <w:t>，</w:t>
      </w:r>
      <w:r>
        <w:rPr>
          <w:rFonts w:hint="eastAsia" w:ascii="仿宋_GB2312" w:hAnsi="仿宋_GB2312" w:eastAsia="仿宋_GB2312" w:cs="仿宋_GB2312"/>
          <w:b w:val="0"/>
          <w:bCs/>
          <w:color w:val="auto"/>
          <w:sz w:val="32"/>
          <w:szCs w:val="32"/>
          <w:u w:val="none"/>
          <w:lang w:eastAsia="zh-CN"/>
        </w:rPr>
        <w:t>推动学科融合，</w:t>
      </w:r>
      <w:r>
        <w:rPr>
          <w:rStyle w:val="20"/>
          <w:rFonts w:ascii="仿宋_GB2312" w:hAnsi="仿宋_GB2312" w:eastAsia="仿宋_GB2312"/>
          <w:b w:val="0"/>
          <w:bCs/>
          <w:color w:val="auto"/>
          <w:sz w:val="32"/>
          <w:szCs w:val="32"/>
          <w:u w:val="none"/>
        </w:rPr>
        <w:t>形成布局合理、优势特色明显、治理体系完善、建设水平国内先进的学科体系，优势特色学科达到博士学位授权学科基本条件，出版学增列一级学科目录</w:t>
      </w:r>
      <w:r>
        <w:rPr>
          <w:rStyle w:val="20"/>
          <w:rFonts w:hint="eastAsia" w:ascii="仿宋_GB2312" w:hAnsi="仿宋_GB2312" w:eastAsia="仿宋_GB2312"/>
          <w:b w:val="0"/>
          <w:bCs/>
          <w:color w:val="auto"/>
          <w:sz w:val="32"/>
          <w:szCs w:val="32"/>
          <w:u w:val="none"/>
          <w:lang w:eastAsia="zh-CN"/>
        </w:rPr>
        <w:t>。在教育部全国学科评估排名中，新闻传播学、设计学进入</w:t>
      </w:r>
      <w:r>
        <w:rPr>
          <w:rStyle w:val="20"/>
          <w:rFonts w:hint="eastAsia" w:ascii="仿宋_GB2312" w:hAnsi="仿宋_GB2312" w:eastAsia="仿宋_GB2312"/>
          <w:b w:val="0"/>
          <w:bCs/>
          <w:color w:val="auto"/>
          <w:sz w:val="32"/>
          <w:szCs w:val="32"/>
          <w:u w:val="none"/>
          <w:lang w:val="en-US" w:eastAsia="zh-CN"/>
        </w:rPr>
        <w:t>B+序列，美术学、轻工技术与工程进入B序列，其他8个一级学科进入C序列，</w:t>
      </w:r>
      <w:r>
        <w:rPr>
          <w:rStyle w:val="20"/>
          <w:rFonts w:ascii="仿宋_GB2312" w:hAnsi="仿宋_GB2312" w:eastAsia="仿宋_GB2312"/>
          <w:color w:val="auto"/>
          <w:sz w:val="32"/>
          <w:szCs w:val="32"/>
          <w:u w:val="none"/>
        </w:rPr>
        <w:t>各学科建设质量明显提升。力争</w:t>
      </w:r>
      <w:r>
        <w:rPr>
          <w:rStyle w:val="20"/>
          <w:rFonts w:ascii="仿宋_GB2312" w:hAnsi="仿宋_GB2312" w:eastAsia="仿宋_GB2312" w:cs="仿宋_GB2312"/>
          <w:bCs/>
          <w:color w:val="auto"/>
          <w:sz w:val="32"/>
          <w:szCs w:val="32"/>
          <w:u w:val="none"/>
        </w:rPr>
        <w:t>增设与出版学密切相关的一级学科及专业硕士学位授权点2-3个，一级学科学位授权点增加到15个，专业硕士学位授权点增加到7-9个</w:t>
      </w:r>
      <w:r>
        <w:rPr>
          <w:rStyle w:val="20"/>
          <w:rFonts w:ascii="仿宋_GB2312" w:hAnsi="仿宋_GB2312" w:eastAsia="仿宋_GB2312"/>
          <w:color w:val="auto"/>
          <w:sz w:val="32"/>
          <w:szCs w:val="32"/>
          <w:u w:val="none"/>
        </w:rPr>
        <w:t>。</w:t>
      </w:r>
    </w:p>
    <w:p>
      <w:pPr>
        <w:spacing w:line="560" w:lineRule="exact"/>
        <w:ind w:firstLine="643" w:firstLineChars="200"/>
        <w:rPr>
          <w:rStyle w:val="20"/>
          <w:rFonts w:ascii="仿宋_GB2312" w:hAnsi="仿宋_GB2312" w:eastAsia="仿宋_GB2312"/>
          <w:b/>
          <w:color w:val="auto"/>
          <w:sz w:val="32"/>
          <w:szCs w:val="32"/>
          <w:u w:val="none"/>
        </w:rPr>
      </w:pPr>
      <w:r>
        <w:rPr>
          <w:rStyle w:val="20"/>
          <w:rFonts w:ascii="仿宋_GB2312" w:hAnsi="仿宋_GB2312" w:eastAsia="仿宋_GB2312"/>
          <w:b/>
          <w:color w:val="auto"/>
          <w:sz w:val="32"/>
          <w:szCs w:val="32"/>
          <w:u w:val="none"/>
        </w:rPr>
        <w:t>2.主要举措</w:t>
      </w:r>
    </w:p>
    <w:p>
      <w:pPr>
        <w:spacing w:line="560" w:lineRule="exact"/>
        <w:ind w:firstLine="643" w:firstLineChars="200"/>
        <w:rPr>
          <w:rStyle w:val="20"/>
          <w:rFonts w:ascii="仿宋_GB2312" w:hAnsi="仿宋_GB2312" w:eastAsia="仿宋_GB2312" w:cs="仿宋_GB2312"/>
          <w:bCs/>
          <w:color w:val="auto"/>
          <w:sz w:val="32"/>
          <w:szCs w:val="32"/>
          <w:u w:val="none"/>
        </w:rPr>
      </w:pPr>
      <w:r>
        <w:rPr>
          <w:rStyle w:val="20"/>
          <w:rFonts w:ascii="仿宋_GB2312" w:hAnsi="仿宋_GB2312" w:eastAsia="仿宋_GB2312" w:cs="仿宋_GB2312"/>
          <w:b/>
          <w:bCs/>
          <w:color w:val="auto"/>
          <w:sz w:val="32"/>
          <w:szCs w:val="32"/>
          <w:u w:val="none"/>
        </w:rPr>
        <w:t>（1）推进优势特色学科集群建设。</w:t>
      </w:r>
      <w:r>
        <w:rPr>
          <w:rStyle w:val="20"/>
          <w:rFonts w:ascii="仿宋_GB2312" w:hAnsi="仿宋_GB2312" w:eastAsia="仿宋_GB2312" w:cs="仿宋_GB2312"/>
          <w:bCs/>
          <w:color w:val="auto"/>
          <w:sz w:val="32"/>
          <w:szCs w:val="32"/>
          <w:u w:val="none"/>
        </w:rPr>
        <w:t>聚焦</w:t>
      </w:r>
      <w:r>
        <w:rPr>
          <w:rStyle w:val="20"/>
          <w:rFonts w:ascii="仿宋_GB2312" w:hAnsi="仿宋_GB2312" w:eastAsia="仿宋_GB2312" w:cs="Times New Roman"/>
          <w:color w:val="auto"/>
          <w:sz w:val="32"/>
          <w:szCs w:val="32"/>
          <w:u w:val="none"/>
        </w:rPr>
        <w:t>出版与传播、印刷与包装、设计与艺术</w:t>
      </w:r>
      <w:r>
        <w:rPr>
          <w:rStyle w:val="20"/>
          <w:rFonts w:ascii="仿宋_GB2312" w:hAnsi="仿宋_GB2312" w:eastAsia="仿宋_GB2312" w:cs="仿宋_GB2312"/>
          <w:bCs/>
          <w:color w:val="auto"/>
          <w:sz w:val="32"/>
          <w:szCs w:val="32"/>
          <w:u w:val="none"/>
        </w:rPr>
        <w:t>领域，以出版学、新闻传播学、设计学、轻工技术与工程等优势特色学科建设为引领，拓展并加强出版学相关学科建设，以研究领域、学科方向和研究项目为纽带，以学术团队建设为目标，整合人才和科研条件等资源，向</w:t>
      </w:r>
      <w:r>
        <w:rPr>
          <w:rStyle w:val="20"/>
          <w:rFonts w:hint="eastAsia" w:ascii="仿宋_GB2312" w:hAnsi="仿宋_GB2312" w:eastAsia="仿宋_GB2312" w:cs="Times New Roman"/>
          <w:color w:val="auto"/>
          <w:sz w:val="32"/>
          <w:szCs w:val="32"/>
          <w:u w:val="none"/>
          <w:lang w:eastAsia="zh-CN"/>
        </w:rPr>
        <w:t>出版与传播、印刷与包装、设计与艺术</w:t>
      </w:r>
      <w:r>
        <w:rPr>
          <w:rStyle w:val="20"/>
          <w:rFonts w:ascii="仿宋_GB2312" w:hAnsi="仿宋_GB2312" w:eastAsia="仿宋_GB2312" w:cs="Times New Roman"/>
          <w:color w:val="auto"/>
          <w:sz w:val="32"/>
          <w:szCs w:val="32"/>
          <w:u w:val="none"/>
        </w:rPr>
        <w:t>领域</w:t>
      </w:r>
      <w:r>
        <w:rPr>
          <w:rStyle w:val="20"/>
          <w:rFonts w:ascii="仿宋_GB2312" w:hAnsi="仿宋_GB2312" w:eastAsia="仿宋_GB2312" w:cs="仿宋_GB2312"/>
          <w:bCs/>
          <w:color w:val="auto"/>
          <w:sz w:val="32"/>
          <w:szCs w:val="32"/>
          <w:u w:val="none"/>
        </w:rPr>
        <w:t>等研究领域集聚，力争形成特色学科集群，提升学科核心竞争力。</w:t>
      </w:r>
    </w:p>
    <w:p>
      <w:pPr>
        <w:spacing w:line="560" w:lineRule="exact"/>
        <w:ind w:firstLine="643" w:firstLineChars="200"/>
        <w:rPr>
          <w:rStyle w:val="20"/>
          <w:rFonts w:hint="eastAsia" w:ascii="仿宋_GB2312" w:hAnsi="仿宋_GB2312" w:eastAsia="仿宋_GB2312" w:cs="Times New Roman"/>
          <w:color w:val="auto"/>
          <w:sz w:val="32"/>
          <w:szCs w:val="32"/>
          <w:u w:val="none"/>
        </w:rPr>
      </w:pPr>
      <w:r>
        <w:rPr>
          <w:rStyle w:val="20"/>
          <w:rFonts w:hint="eastAsia" w:ascii="仿宋_GB2312" w:hAnsi="仿宋_GB2312" w:eastAsia="仿宋_GB2312" w:cs="Times New Roman"/>
          <w:b/>
          <w:bCs/>
          <w:color w:val="auto"/>
          <w:sz w:val="32"/>
          <w:szCs w:val="32"/>
          <w:u w:val="none"/>
        </w:rPr>
        <w:t>（2）加强重点学科建设。</w:t>
      </w:r>
      <w:r>
        <w:rPr>
          <w:rStyle w:val="20"/>
          <w:rFonts w:hint="eastAsia" w:ascii="仿宋_GB2312" w:hAnsi="仿宋_GB2312" w:eastAsia="仿宋_GB2312" w:cs="仿宋_GB2312"/>
          <w:bCs/>
          <w:color w:val="auto"/>
          <w:sz w:val="32"/>
          <w:szCs w:val="32"/>
          <w:u w:val="none"/>
        </w:rPr>
        <w:t>依据学科群建设重点领域，</w:t>
      </w:r>
      <w:r>
        <w:rPr>
          <w:rStyle w:val="20"/>
          <w:rFonts w:hint="eastAsia" w:ascii="仿宋_GB2312" w:hAnsi="仿宋_GB2312" w:eastAsia="仿宋_GB2312" w:cs="Times New Roman"/>
          <w:color w:val="auto"/>
          <w:sz w:val="32"/>
          <w:szCs w:val="32"/>
          <w:u w:val="none"/>
        </w:rPr>
        <w:t>聚集办学资源，优先投向新闻传播学、设计学、轻工技术与工程等重点学科领域，加强学科</w:t>
      </w:r>
      <w:r>
        <w:rPr>
          <w:rStyle w:val="20"/>
          <w:rFonts w:hint="eastAsia" w:ascii="仿宋_GB2312" w:hAnsi="仿宋_GB2312" w:eastAsia="仿宋_GB2312" w:cs="仿宋_GB2312"/>
          <w:bCs/>
          <w:color w:val="auto"/>
          <w:sz w:val="32"/>
          <w:szCs w:val="32"/>
          <w:u w:val="none"/>
        </w:rPr>
        <w:t>与研究基地、科研创新平台的对接融合，助推科研创新能力提升，</w:t>
      </w:r>
      <w:r>
        <w:rPr>
          <w:rStyle w:val="20"/>
          <w:rFonts w:hint="eastAsia" w:ascii="仿宋_GB2312" w:hAnsi="仿宋_GB2312" w:eastAsia="仿宋_GB2312" w:cs="Times New Roman"/>
          <w:color w:val="auto"/>
          <w:sz w:val="32"/>
          <w:szCs w:val="32"/>
          <w:u w:val="none"/>
        </w:rPr>
        <w:t>围绕出版学</w:t>
      </w:r>
      <w:r>
        <w:rPr>
          <w:rStyle w:val="20"/>
          <w:rFonts w:hint="eastAsia" w:ascii="仿宋_GB2312" w:hAnsi="仿宋_GB2312" w:eastAsia="仿宋_GB2312" w:cs="Times New Roman"/>
          <w:color w:val="auto"/>
          <w:sz w:val="32"/>
          <w:szCs w:val="32"/>
          <w:u w:val="none"/>
          <w:lang w:eastAsia="zh-CN"/>
        </w:rPr>
        <w:t>一级</w:t>
      </w:r>
      <w:r>
        <w:rPr>
          <w:rStyle w:val="20"/>
          <w:rFonts w:hint="eastAsia" w:ascii="仿宋_GB2312" w:hAnsi="仿宋_GB2312" w:eastAsia="仿宋_GB2312" w:cs="Times New Roman"/>
          <w:color w:val="auto"/>
          <w:sz w:val="32"/>
          <w:szCs w:val="32"/>
          <w:u w:val="none"/>
        </w:rPr>
        <w:t>学科建设，培育文物与博物馆、图书情报与档案管理等</w:t>
      </w:r>
      <w:r>
        <w:rPr>
          <w:rStyle w:val="20"/>
          <w:rFonts w:hint="eastAsia" w:ascii="仿宋_GB2312" w:hAnsi="仿宋_GB2312" w:eastAsia="仿宋_GB2312" w:cs="Times New Roman"/>
          <w:color w:val="auto"/>
          <w:sz w:val="32"/>
          <w:szCs w:val="32"/>
          <w:u w:val="none"/>
          <w:lang w:eastAsia="zh-CN"/>
        </w:rPr>
        <w:t>相关</w:t>
      </w:r>
      <w:r>
        <w:rPr>
          <w:rStyle w:val="20"/>
          <w:rFonts w:hint="eastAsia" w:ascii="仿宋_GB2312" w:hAnsi="仿宋_GB2312" w:eastAsia="仿宋_GB2312" w:cs="Times New Roman"/>
          <w:color w:val="auto"/>
          <w:sz w:val="32"/>
          <w:szCs w:val="32"/>
          <w:u w:val="none"/>
        </w:rPr>
        <w:t>学科，</w:t>
      </w:r>
      <w:r>
        <w:rPr>
          <w:rStyle w:val="20"/>
          <w:rFonts w:hint="eastAsia" w:ascii="仿宋_GB2312" w:hAnsi="仿宋_GB2312" w:eastAsia="仿宋_GB2312" w:cs="Times New Roman"/>
          <w:color w:val="auto"/>
          <w:sz w:val="32"/>
          <w:szCs w:val="32"/>
          <w:u w:val="none"/>
          <w:lang w:eastAsia="zh-CN"/>
        </w:rPr>
        <w:t>形成比较坚实的学科支撑，</w:t>
      </w:r>
      <w:r>
        <w:rPr>
          <w:rStyle w:val="20"/>
          <w:rFonts w:hint="eastAsia" w:ascii="仿宋_GB2312" w:hAnsi="仿宋_GB2312" w:eastAsia="仿宋_GB2312" w:cs="仿宋_GB2312"/>
          <w:bCs/>
          <w:color w:val="auto"/>
          <w:sz w:val="32"/>
          <w:szCs w:val="32"/>
          <w:u w:val="none"/>
        </w:rPr>
        <w:t>在“学科高原”上建设“学科高峰”，</w:t>
      </w:r>
      <w:r>
        <w:rPr>
          <w:rStyle w:val="20"/>
          <w:rFonts w:hint="eastAsia" w:ascii="仿宋_GB2312" w:hAnsi="仿宋_GB2312" w:eastAsia="仿宋_GB2312" w:cs="Times New Roman"/>
          <w:color w:val="auto"/>
          <w:sz w:val="32"/>
          <w:szCs w:val="32"/>
          <w:u w:val="none"/>
        </w:rPr>
        <w:t>取得博士学位授权单位的突破。</w:t>
      </w:r>
    </w:p>
    <w:p>
      <w:pPr>
        <w:spacing w:line="560" w:lineRule="exact"/>
        <w:ind w:firstLine="643" w:firstLineChars="200"/>
        <w:rPr>
          <w:rStyle w:val="20"/>
          <w:rFonts w:hint="eastAsia" w:ascii="仿宋_GB2312" w:hAnsi="仿宋_GB2312" w:eastAsia="仿宋_GB2312" w:cs="Times New Roman"/>
          <w:color w:val="auto"/>
          <w:sz w:val="32"/>
          <w:szCs w:val="32"/>
          <w:u w:val="none"/>
        </w:rPr>
      </w:pPr>
      <w:r>
        <w:rPr>
          <w:rStyle w:val="20"/>
          <w:rFonts w:hint="eastAsia" w:ascii="仿宋_GB2312" w:hAnsi="仿宋_GB2312" w:eastAsia="仿宋_GB2312" w:cs="仿宋_GB2312"/>
          <w:b/>
          <w:bCs w:val="0"/>
          <w:color w:val="auto"/>
          <w:sz w:val="32"/>
          <w:szCs w:val="32"/>
          <w:u w:val="none"/>
        </w:rPr>
        <w:t>（3）积极培育新兴和交叉学科。</w:t>
      </w:r>
      <w:r>
        <w:rPr>
          <w:rStyle w:val="20"/>
          <w:rFonts w:hint="eastAsia" w:ascii="仿宋_GB2312" w:hAnsi="仿宋_GB2312" w:eastAsia="仿宋_GB2312" w:cs="仿宋_GB2312"/>
          <w:bCs/>
          <w:color w:val="auto"/>
          <w:sz w:val="32"/>
          <w:szCs w:val="32"/>
          <w:u w:val="none"/>
        </w:rPr>
        <w:t>重视学科、学科集群间的交叉融合和外延拓展</w:t>
      </w:r>
      <w:r>
        <w:rPr>
          <w:rStyle w:val="20"/>
          <w:rFonts w:hint="eastAsia" w:ascii="仿宋_GB2312" w:hAnsi="仿宋_GB2312" w:eastAsia="仿宋_GB2312" w:cs="仿宋_GB2312"/>
          <w:b w:val="0"/>
          <w:bCs/>
          <w:color w:val="auto"/>
          <w:sz w:val="32"/>
          <w:szCs w:val="32"/>
          <w:u w:val="none"/>
        </w:rPr>
        <w:t>，</w:t>
      </w:r>
      <w:r>
        <w:rPr>
          <w:rFonts w:hint="eastAsia" w:ascii="仿宋_GB2312" w:hAnsi="仿宋_GB2312" w:eastAsia="仿宋_GB2312" w:cs="仿宋_GB2312"/>
          <w:b w:val="0"/>
          <w:bCs/>
          <w:color w:val="auto"/>
          <w:sz w:val="32"/>
          <w:szCs w:val="32"/>
          <w:u w:val="none"/>
          <w:lang w:eastAsia="zh-CN"/>
        </w:rPr>
        <w:t>加大新兴和交叉学科建设的支持力度。</w:t>
      </w:r>
      <w:r>
        <w:rPr>
          <w:rStyle w:val="20"/>
          <w:rFonts w:hint="eastAsia" w:ascii="仿宋_GB2312" w:hAnsi="仿宋_GB2312" w:eastAsia="仿宋_GB2312" w:cs="仿宋_GB2312"/>
          <w:b w:val="0"/>
          <w:bCs/>
          <w:color w:val="auto"/>
          <w:sz w:val="32"/>
          <w:szCs w:val="32"/>
          <w:u w:val="none"/>
        </w:rPr>
        <w:t>结合学科发展动</w:t>
      </w:r>
      <w:r>
        <w:rPr>
          <w:rStyle w:val="20"/>
          <w:rFonts w:hint="eastAsia" w:ascii="仿宋_GB2312" w:hAnsi="仿宋_GB2312" w:eastAsia="仿宋_GB2312" w:cs="仿宋_GB2312"/>
          <w:bCs/>
          <w:color w:val="auto"/>
          <w:sz w:val="32"/>
          <w:szCs w:val="32"/>
          <w:u w:val="none"/>
        </w:rPr>
        <w:t>态、学科关系及其内在规律，结合国家、北京市战略性新兴产业和新闻出版业发展亟需，结合学校资源条件和发展目标，培育文化产业管理、大数据与智能制造</w:t>
      </w:r>
      <w:r>
        <w:rPr>
          <w:rStyle w:val="20"/>
          <w:rFonts w:hint="eastAsia" w:ascii="仿宋_GB2312" w:hAnsi="仿宋_GB2312" w:eastAsia="仿宋_GB2312" w:cs="Times New Roman"/>
          <w:color w:val="auto"/>
          <w:sz w:val="32"/>
          <w:szCs w:val="32"/>
          <w:u w:val="none"/>
        </w:rPr>
        <w:t>等新兴</w:t>
      </w:r>
      <w:r>
        <w:rPr>
          <w:rStyle w:val="20"/>
          <w:rFonts w:hint="eastAsia" w:ascii="仿宋_GB2312" w:hAnsi="仿宋_GB2312" w:eastAsia="仿宋_GB2312" w:cs="Times New Roman"/>
          <w:color w:val="auto"/>
          <w:sz w:val="32"/>
          <w:szCs w:val="32"/>
          <w:u w:val="none"/>
          <w:lang w:eastAsia="zh-CN"/>
        </w:rPr>
        <w:t>、</w:t>
      </w:r>
      <w:r>
        <w:rPr>
          <w:rStyle w:val="20"/>
          <w:rFonts w:hint="eastAsia" w:ascii="仿宋_GB2312" w:hAnsi="仿宋_GB2312" w:eastAsia="仿宋_GB2312" w:cs="Times New Roman"/>
          <w:color w:val="auto"/>
          <w:sz w:val="32"/>
          <w:szCs w:val="32"/>
          <w:u w:val="none"/>
        </w:rPr>
        <w:t>交叉学科点，</w:t>
      </w:r>
      <w:r>
        <w:rPr>
          <w:rStyle w:val="20"/>
          <w:rFonts w:hint="eastAsia" w:ascii="仿宋_GB2312" w:hAnsi="仿宋_GB2312" w:eastAsia="仿宋_GB2312" w:cs="仿宋_GB2312"/>
          <w:bCs/>
          <w:color w:val="auto"/>
          <w:sz w:val="32"/>
          <w:szCs w:val="32"/>
          <w:u w:val="none"/>
        </w:rPr>
        <w:t>不断提升学校服务国家重大战略需求和新闻出版业的服务品质。</w:t>
      </w:r>
    </w:p>
    <w:p>
      <w:pPr>
        <w:spacing w:line="560" w:lineRule="exact"/>
        <w:ind w:firstLine="643" w:firstLineChars="200"/>
        <w:rPr>
          <w:rStyle w:val="20"/>
          <w:rFonts w:ascii="仿宋_GB2312" w:hAnsi="仿宋_GB2312" w:eastAsia="仿宋_GB2312" w:cs="仿宋_GB2312"/>
          <w:bCs/>
          <w:color w:val="auto"/>
          <w:sz w:val="32"/>
          <w:szCs w:val="32"/>
          <w:u w:val="none"/>
        </w:rPr>
      </w:pPr>
      <w:r>
        <w:rPr>
          <w:rStyle w:val="20"/>
          <w:rFonts w:ascii="仿宋_GB2312" w:hAnsi="仿宋_GB2312" w:eastAsia="仿宋_GB2312" w:cs="仿宋_GB2312"/>
          <w:b/>
          <w:bCs/>
          <w:color w:val="auto"/>
          <w:sz w:val="32"/>
          <w:szCs w:val="32"/>
          <w:u w:val="none"/>
        </w:rPr>
        <w:t>（</w:t>
      </w:r>
      <w:r>
        <w:rPr>
          <w:rStyle w:val="20"/>
          <w:rFonts w:hint="eastAsia" w:ascii="仿宋_GB2312" w:hAnsi="仿宋_GB2312" w:eastAsia="仿宋_GB2312" w:cs="仿宋_GB2312"/>
          <w:b/>
          <w:bCs/>
          <w:color w:val="auto"/>
          <w:sz w:val="32"/>
          <w:szCs w:val="32"/>
          <w:u w:val="none"/>
          <w:lang w:val="en-US" w:eastAsia="zh-CN"/>
        </w:rPr>
        <w:t>4</w:t>
      </w:r>
      <w:r>
        <w:rPr>
          <w:rStyle w:val="20"/>
          <w:rFonts w:ascii="仿宋_GB2312" w:hAnsi="仿宋_GB2312" w:eastAsia="仿宋_GB2312" w:cs="仿宋_GB2312"/>
          <w:b/>
          <w:bCs/>
          <w:color w:val="auto"/>
          <w:sz w:val="32"/>
          <w:szCs w:val="32"/>
          <w:u w:val="none"/>
        </w:rPr>
        <w:t>）加强学科组织与人才团队建设。</w:t>
      </w:r>
      <w:r>
        <w:rPr>
          <w:rStyle w:val="20"/>
          <w:rFonts w:ascii="仿宋_GB2312" w:hAnsi="仿宋_GB2312" w:eastAsia="仿宋_GB2312" w:cs="仿宋_GB2312"/>
          <w:bCs/>
          <w:color w:val="auto"/>
          <w:sz w:val="32"/>
          <w:szCs w:val="32"/>
          <w:u w:val="none"/>
        </w:rPr>
        <w:t>做好学科带头人的引进、遴选、培养和管理，形成方向明确、结构合理、高水平的学科建设队伍；推动多学科交叉合作的高水平研究平台与团队建设，加快培育标志性成果。</w:t>
      </w:r>
    </w:p>
    <w:p>
      <w:pPr>
        <w:pStyle w:val="3"/>
        <w:spacing w:line="560" w:lineRule="exact"/>
        <w:ind w:firstLine="643" w:firstLineChars="200"/>
        <w:rPr>
          <w:rFonts w:ascii="楷体_GB2312" w:hAnsi="楷体_GB2312" w:eastAsia="楷体_GB2312" w:cs="楷体_GB2312"/>
          <w:color w:val="auto"/>
          <w:u w:val="none"/>
        </w:rPr>
      </w:pPr>
      <w:bookmarkStart w:id="231" w:name="_Toc14605"/>
      <w:bookmarkStart w:id="232" w:name="_Toc31620"/>
      <w:bookmarkStart w:id="233" w:name="_Toc29925"/>
      <w:bookmarkStart w:id="234" w:name="_Toc1490"/>
      <w:bookmarkStart w:id="235" w:name="_Toc109"/>
      <w:bookmarkStart w:id="236" w:name="_Toc26255"/>
      <w:bookmarkStart w:id="237" w:name="_Toc19561"/>
      <w:bookmarkStart w:id="238" w:name="_Toc2832"/>
      <w:bookmarkStart w:id="239" w:name="_Toc30297"/>
      <w:bookmarkStart w:id="240" w:name="_Toc8879"/>
      <w:bookmarkStart w:id="241" w:name="_Toc25745"/>
      <w:bookmarkStart w:id="242" w:name="_Toc7334"/>
      <w:bookmarkStart w:id="243" w:name="_Toc30550"/>
      <w:bookmarkStart w:id="244" w:name="_Toc4423"/>
      <w:bookmarkStart w:id="245" w:name="_Toc16020"/>
      <w:bookmarkStart w:id="246" w:name="_Toc20516"/>
      <w:bookmarkStart w:id="247" w:name="_Toc11301"/>
      <w:bookmarkStart w:id="248" w:name="_Toc26371"/>
      <w:bookmarkStart w:id="249" w:name="_Toc18644"/>
      <w:bookmarkStart w:id="250" w:name="_Toc20338"/>
      <w:bookmarkStart w:id="251" w:name="_Toc32303"/>
      <w:r>
        <w:rPr>
          <w:rFonts w:hint="eastAsia" w:ascii="楷体_GB2312" w:hAnsi="楷体_GB2312" w:eastAsia="楷体_GB2312" w:cs="楷体_GB2312"/>
          <w:color w:val="auto"/>
          <w:u w:val="none"/>
        </w:rPr>
        <w:t>（</w:t>
      </w:r>
      <w:r>
        <w:rPr>
          <w:rFonts w:hint="eastAsia" w:ascii="楷体_GB2312" w:hAnsi="楷体_GB2312" w:eastAsia="楷体_GB2312" w:cs="楷体_GB2312"/>
          <w:color w:val="auto"/>
          <w:u w:val="none"/>
          <w:lang w:eastAsia="zh-CN"/>
        </w:rPr>
        <w:t>三</w:t>
      </w:r>
      <w:r>
        <w:rPr>
          <w:rFonts w:hint="eastAsia" w:ascii="楷体_GB2312" w:hAnsi="楷体_GB2312" w:eastAsia="楷体_GB2312" w:cs="楷体_GB2312"/>
          <w:color w:val="auto"/>
          <w:u w:val="none"/>
        </w:rPr>
        <w:t>）教育创新工程</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spacing w:line="560" w:lineRule="exact"/>
        <w:ind w:firstLine="643" w:firstLineChars="200"/>
        <w:rPr>
          <w:rStyle w:val="20"/>
          <w:rFonts w:ascii="仿宋_GB2312" w:hAnsi="仿宋_GB2312" w:eastAsia="仿宋_GB2312" w:cs="仿宋_GB2312"/>
          <w:b/>
          <w:bCs/>
          <w:color w:val="auto"/>
          <w:kern w:val="0"/>
          <w:sz w:val="32"/>
          <w:szCs w:val="32"/>
          <w:u w:val="none"/>
        </w:rPr>
      </w:pPr>
      <w:r>
        <w:rPr>
          <w:rStyle w:val="20"/>
          <w:rFonts w:ascii="仿宋_GB2312" w:hAnsi="仿宋_GB2312" w:eastAsia="仿宋_GB2312" w:cs="仿宋_GB2312"/>
          <w:b/>
          <w:bCs/>
          <w:color w:val="auto"/>
          <w:kern w:val="0"/>
          <w:sz w:val="32"/>
          <w:szCs w:val="32"/>
          <w:u w:val="none"/>
        </w:rPr>
        <w:t>1.建设目标</w:t>
      </w:r>
    </w:p>
    <w:p>
      <w:pPr>
        <w:spacing w:line="560" w:lineRule="exact"/>
        <w:ind w:firstLine="640" w:firstLineChars="200"/>
        <w:rPr>
          <w:rStyle w:val="20"/>
          <w:rFonts w:ascii="仿宋_GB2312" w:hAnsi="仿宋_GB2312" w:eastAsia="仿宋_GB2312"/>
          <w:b/>
          <w:bCs/>
          <w:color w:val="auto"/>
          <w:sz w:val="32"/>
          <w:szCs w:val="32"/>
          <w:u w:val="none"/>
        </w:rPr>
      </w:pPr>
      <w:r>
        <w:rPr>
          <w:rStyle w:val="20"/>
          <w:rFonts w:ascii="仿宋_GB2312" w:hAnsi="仿宋_GB2312" w:eastAsia="仿宋_GB2312"/>
          <w:color w:val="auto"/>
          <w:sz w:val="32"/>
          <w:szCs w:val="32"/>
          <w:u w:val="none"/>
        </w:rPr>
        <w:t>深入贯彻“以学生为中心”的育人理念，坚持立德树人根本任务，</w:t>
      </w:r>
      <w:r>
        <w:rPr>
          <w:rStyle w:val="20"/>
          <w:rFonts w:hint="eastAsia" w:ascii="仿宋_GB2312" w:hAnsi="仿宋_GB2312" w:eastAsia="仿宋_GB2312"/>
          <w:color w:val="auto"/>
          <w:sz w:val="32"/>
          <w:szCs w:val="32"/>
          <w:u w:val="none"/>
        </w:rPr>
        <w:t>突出思想政治理论课改革创新，打造课程思政金课，强化课程思政同向同行作用，</w:t>
      </w:r>
      <w:r>
        <w:rPr>
          <w:rStyle w:val="20"/>
          <w:rFonts w:hint="eastAsia" w:ascii="仿宋_GB2312" w:hAnsi="仿宋_GB2312" w:eastAsia="仿宋_GB2312"/>
          <w:color w:val="auto"/>
          <w:sz w:val="32"/>
          <w:szCs w:val="32"/>
          <w:u w:val="none"/>
          <w:lang w:eastAsia="zh-CN"/>
        </w:rPr>
        <w:t>创新</w:t>
      </w:r>
      <w:r>
        <w:rPr>
          <w:rStyle w:val="20"/>
          <w:rFonts w:ascii="仿宋_GB2312" w:hAnsi="仿宋_GB2312" w:eastAsia="仿宋_GB2312"/>
          <w:color w:val="auto"/>
          <w:sz w:val="32"/>
          <w:szCs w:val="32"/>
          <w:u w:val="none"/>
        </w:rPr>
        <w:t>构建学生的全面素质养成和个性发展的育人模式；以“双万计划”为契机，以推进高水平特色型大学为抓手，以服务出版传媒全产业链为特色，着力构建适应</w:t>
      </w:r>
      <w:r>
        <w:rPr>
          <w:rStyle w:val="20"/>
          <w:rFonts w:hint="eastAsia" w:ascii="仿宋_GB2312" w:hAnsi="仿宋_GB2312" w:eastAsia="仿宋_GB2312"/>
          <w:color w:val="auto"/>
          <w:sz w:val="32"/>
          <w:szCs w:val="32"/>
          <w:u w:val="none"/>
        </w:rPr>
        <w:t>国家文化强国建设战略、</w:t>
      </w:r>
      <w:r>
        <w:rPr>
          <w:rStyle w:val="20"/>
          <w:rFonts w:ascii="仿宋_GB2312" w:hAnsi="仿宋_GB2312" w:eastAsia="仿宋_GB2312"/>
          <w:color w:val="auto"/>
          <w:sz w:val="32"/>
          <w:szCs w:val="32"/>
          <w:u w:val="none"/>
        </w:rPr>
        <w:t>北京和行业人才需求定位的高水平特色型教育体系，教育质量达到北京市属高校一流水平；培育与学校办学特色相</w:t>
      </w:r>
      <w:r>
        <w:rPr>
          <w:rStyle w:val="20"/>
          <w:rFonts w:hint="eastAsia" w:ascii="仿宋_GB2312" w:hAnsi="仿宋_GB2312" w:eastAsia="仿宋_GB2312"/>
          <w:color w:val="auto"/>
          <w:sz w:val="32"/>
          <w:szCs w:val="32"/>
          <w:u w:val="none"/>
        </w:rPr>
        <w:t>契</w:t>
      </w:r>
      <w:r>
        <w:rPr>
          <w:rStyle w:val="20"/>
          <w:rFonts w:ascii="仿宋_GB2312" w:hAnsi="仿宋_GB2312" w:eastAsia="仿宋_GB2312"/>
          <w:color w:val="auto"/>
          <w:sz w:val="32"/>
          <w:szCs w:val="32"/>
          <w:u w:val="none"/>
        </w:rPr>
        <w:t>合的新专业4-6个；加快推进专业认证，完成全校本科专业校内评估，通过工程教育专业认证2-3个；</w:t>
      </w:r>
      <w:r>
        <w:rPr>
          <w:rStyle w:val="20"/>
          <w:rFonts w:hint="eastAsia" w:ascii="仿宋_GB2312" w:hAnsi="仿宋_GB2312" w:eastAsia="仿宋_GB2312"/>
          <w:b w:val="0"/>
          <w:bCs w:val="0"/>
          <w:color w:val="auto"/>
          <w:sz w:val="32"/>
          <w:szCs w:val="32"/>
          <w:u w:val="none"/>
          <w:lang w:eastAsia="zh-CN"/>
        </w:rPr>
        <w:t>在软科中国大学专业排名中，特色专业如：数字出版、编辑出版、印刷工程、动画、数字媒体艺术进入</w:t>
      </w:r>
      <w:r>
        <w:rPr>
          <w:rStyle w:val="20"/>
          <w:rFonts w:hint="eastAsia" w:ascii="仿宋_GB2312" w:hAnsi="仿宋_GB2312" w:eastAsia="仿宋_GB2312"/>
          <w:b w:val="0"/>
          <w:bCs w:val="0"/>
          <w:color w:val="auto"/>
          <w:sz w:val="32"/>
          <w:szCs w:val="32"/>
          <w:u w:val="none"/>
          <w:lang w:val="en-US" w:eastAsia="zh-CN"/>
        </w:rPr>
        <w:t>A+序列，视觉传达设计、包装工程、机械工程进入A序列，以上8个专业每个至少打造1门国家级一流课程。其他专业进入B+序列。</w:t>
      </w:r>
      <w:r>
        <w:rPr>
          <w:rStyle w:val="20"/>
          <w:rFonts w:ascii="仿宋_GB2312" w:hAnsi="仿宋_GB2312" w:eastAsia="仿宋_GB2312"/>
          <w:b w:val="0"/>
          <w:bCs w:val="0"/>
          <w:color w:val="auto"/>
          <w:sz w:val="32"/>
          <w:szCs w:val="32"/>
          <w:u w:val="none"/>
        </w:rPr>
        <w:t>力争建设</w:t>
      </w:r>
      <w:r>
        <w:rPr>
          <w:rStyle w:val="20"/>
          <w:rFonts w:hint="eastAsia" w:ascii="仿宋_GB2312" w:hAnsi="仿宋_GB2312" w:eastAsia="仿宋_GB2312" w:cs="Times New Roman"/>
          <w:b w:val="0"/>
          <w:bCs w:val="0"/>
          <w:color w:val="auto"/>
          <w:sz w:val="32"/>
          <w:szCs w:val="32"/>
          <w:u w:val="none"/>
          <w:lang w:eastAsia="zh-CN"/>
        </w:rPr>
        <w:t>北京市优质</w:t>
      </w:r>
      <w:r>
        <w:rPr>
          <w:rStyle w:val="20"/>
          <w:rFonts w:ascii="仿宋_GB2312" w:hAnsi="仿宋_GB2312" w:eastAsia="仿宋_GB2312"/>
          <w:b w:val="0"/>
          <w:bCs w:val="0"/>
          <w:color w:val="auto"/>
          <w:sz w:val="32"/>
          <w:szCs w:val="32"/>
          <w:u w:val="none"/>
        </w:rPr>
        <w:t>课程</w:t>
      </w:r>
      <w:r>
        <w:rPr>
          <w:rStyle w:val="20"/>
          <w:rFonts w:hint="eastAsia" w:ascii="仿宋_GB2312" w:hAnsi="仿宋_GB2312" w:eastAsia="仿宋_GB2312" w:cs="Times New Roman"/>
          <w:b w:val="0"/>
          <w:bCs w:val="0"/>
          <w:color w:val="auto"/>
          <w:sz w:val="32"/>
          <w:szCs w:val="32"/>
          <w:u w:val="none"/>
          <w:lang w:val="en-US" w:eastAsia="zh-CN"/>
        </w:rPr>
        <w:t>18-20</w:t>
      </w:r>
      <w:r>
        <w:rPr>
          <w:rStyle w:val="20"/>
          <w:rFonts w:ascii="仿宋_GB2312" w:hAnsi="仿宋_GB2312" w:eastAsia="仿宋_GB2312"/>
          <w:b w:val="0"/>
          <w:bCs w:val="0"/>
          <w:color w:val="auto"/>
          <w:sz w:val="32"/>
          <w:szCs w:val="32"/>
          <w:u w:val="none"/>
        </w:rPr>
        <w:t>门。</w:t>
      </w:r>
    </w:p>
    <w:p>
      <w:pPr>
        <w:spacing w:line="560" w:lineRule="exact"/>
        <w:ind w:firstLine="643" w:firstLineChars="200"/>
        <w:rPr>
          <w:rStyle w:val="20"/>
          <w:rFonts w:ascii="仿宋_GB2312" w:hAnsi="仿宋_GB2312" w:eastAsia="仿宋_GB2312"/>
          <w:b/>
          <w:color w:val="auto"/>
          <w:sz w:val="32"/>
          <w:szCs w:val="32"/>
          <w:u w:val="none"/>
        </w:rPr>
      </w:pPr>
      <w:r>
        <w:rPr>
          <w:rStyle w:val="20"/>
          <w:rFonts w:ascii="仿宋_GB2312" w:hAnsi="仿宋_GB2312" w:eastAsia="仿宋_GB2312"/>
          <w:b/>
          <w:color w:val="auto"/>
          <w:sz w:val="32"/>
          <w:szCs w:val="32"/>
          <w:u w:val="none"/>
        </w:rPr>
        <w:t>2.主要举措</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w:t>
      </w:r>
      <w:r>
        <w:rPr>
          <w:rStyle w:val="20"/>
          <w:rFonts w:hint="eastAsia" w:ascii="仿宋_GB2312" w:hAnsi="仿宋_GB2312" w:eastAsia="仿宋_GB2312"/>
          <w:b/>
          <w:color w:val="auto"/>
          <w:sz w:val="32"/>
          <w:szCs w:val="32"/>
          <w:u w:val="none"/>
          <w:lang w:val="en-US" w:eastAsia="zh-CN"/>
        </w:rPr>
        <w:t>1</w:t>
      </w:r>
      <w:r>
        <w:rPr>
          <w:rStyle w:val="20"/>
          <w:rFonts w:ascii="仿宋_GB2312" w:hAnsi="仿宋_GB2312" w:eastAsia="仿宋_GB2312"/>
          <w:b/>
          <w:color w:val="auto"/>
          <w:sz w:val="32"/>
          <w:szCs w:val="32"/>
          <w:u w:val="none"/>
        </w:rPr>
        <w:t>）创新复合应用型人才培养模式。</w:t>
      </w:r>
      <w:r>
        <w:rPr>
          <w:rStyle w:val="20"/>
          <w:rFonts w:ascii="仿宋_GB2312" w:hAnsi="仿宋_GB2312" w:eastAsia="仿宋_GB2312"/>
          <w:color w:val="auto"/>
          <w:sz w:val="32"/>
          <w:szCs w:val="32"/>
          <w:u w:val="none"/>
        </w:rPr>
        <w:t>加强“卓越工程师教育培养计划”工作的领导和统筹，遵循工程教育的特点，着力建设专兼职师资队伍和产学合作教育模式；完善“毕昇班”“韬奋班”等特色实验班人才培养方案，培养行业领军人才；深入推进大类招生和培养、个性化辅修，促进人才培养的跨学科交流与交叉融合；深化创新创业教育改革，依托北京时尚产业学院、</w:t>
      </w:r>
      <w:r>
        <w:rPr>
          <w:rStyle w:val="20"/>
          <w:rFonts w:hint="eastAsia" w:ascii="仿宋_GB2312" w:hAnsi="仿宋_GB2312" w:eastAsia="仿宋_GB2312"/>
          <w:color w:val="auto"/>
          <w:sz w:val="32"/>
          <w:szCs w:val="32"/>
          <w:u w:val="none"/>
        </w:rPr>
        <w:t>北京时尚品牌设计中心、</w:t>
      </w:r>
      <w:r>
        <w:rPr>
          <w:rStyle w:val="20"/>
          <w:rFonts w:ascii="仿宋_GB2312" w:hAnsi="仿宋_GB2312" w:eastAsia="仿宋_GB2312"/>
          <w:color w:val="auto"/>
          <w:sz w:val="32"/>
          <w:szCs w:val="32"/>
          <w:u w:val="none"/>
        </w:rPr>
        <w:t>北印龙港</w:t>
      </w:r>
      <w:r>
        <w:rPr>
          <w:rStyle w:val="20"/>
          <w:rFonts w:hint="eastAsia" w:ascii="仿宋_GB2312" w:hAnsi="仿宋_GB2312" w:eastAsia="仿宋_GB2312"/>
          <w:color w:val="auto"/>
          <w:sz w:val="32"/>
          <w:szCs w:val="32"/>
          <w:u w:val="none"/>
        </w:rPr>
        <w:t>产业</w:t>
      </w:r>
      <w:r>
        <w:rPr>
          <w:rStyle w:val="20"/>
          <w:rFonts w:ascii="仿宋_GB2312" w:hAnsi="仿宋_GB2312" w:eastAsia="仿宋_GB2312"/>
          <w:color w:val="auto"/>
          <w:sz w:val="32"/>
          <w:szCs w:val="32"/>
          <w:u w:val="none"/>
        </w:rPr>
        <w:t>学院、</w:t>
      </w:r>
      <w:r>
        <w:rPr>
          <w:rStyle w:val="20"/>
          <w:rFonts w:hint="eastAsia" w:ascii="仿宋_GB2312" w:hAnsi="仿宋_GB2312" w:eastAsia="仿宋_GB2312"/>
          <w:color w:val="auto"/>
          <w:sz w:val="32"/>
          <w:szCs w:val="32"/>
          <w:u w:val="none"/>
        </w:rPr>
        <w:t>泰安研究院、</w:t>
      </w:r>
      <w:r>
        <w:rPr>
          <w:rStyle w:val="20"/>
          <w:rFonts w:ascii="仿宋_GB2312" w:hAnsi="仿宋_GB2312" w:eastAsia="仿宋_GB2312"/>
          <w:color w:val="auto"/>
          <w:sz w:val="32"/>
          <w:szCs w:val="32"/>
          <w:u w:val="none"/>
        </w:rPr>
        <w:t>“一院三园”等平台，打造创新创业产业基地、</w:t>
      </w:r>
      <w:r>
        <w:rPr>
          <w:rStyle w:val="20"/>
          <w:rFonts w:ascii="仿宋_GB2312" w:hAnsi="仿宋_GB2312" w:eastAsia="仿宋_GB2312" w:cs="Times New Roman"/>
          <w:color w:val="auto"/>
          <w:sz w:val="32"/>
          <w:szCs w:val="32"/>
          <w:u w:val="none"/>
        </w:rPr>
        <w:t>国家级</w:t>
      </w:r>
      <w:r>
        <w:rPr>
          <w:rStyle w:val="20"/>
          <w:rFonts w:hint="eastAsia" w:ascii="仿宋_GB2312" w:hAnsi="仿宋_GB2312" w:eastAsia="仿宋_GB2312" w:cs="Times New Roman"/>
          <w:b w:val="0"/>
          <w:bCs w:val="0"/>
          <w:color w:val="auto"/>
          <w:sz w:val="32"/>
          <w:szCs w:val="32"/>
          <w:u w:val="none"/>
          <w:lang w:eastAsia="zh-CN"/>
        </w:rPr>
        <w:t>大学</w:t>
      </w:r>
      <w:r>
        <w:rPr>
          <w:rStyle w:val="20"/>
          <w:rFonts w:ascii="仿宋_GB2312" w:hAnsi="仿宋_GB2312" w:eastAsia="仿宋_GB2312" w:cs="Times New Roman"/>
          <w:color w:val="auto"/>
          <w:sz w:val="32"/>
          <w:szCs w:val="32"/>
          <w:u w:val="none"/>
        </w:rPr>
        <w:t>科技园</w:t>
      </w:r>
      <w:r>
        <w:rPr>
          <w:rStyle w:val="20"/>
          <w:rFonts w:ascii="仿宋_GB2312" w:hAnsi="仿宋_GB2312" w:eastAsia="仿宋_GB2312"/>
          <w:color w:val="auto"/>
          <w:sz w:val="32"/>
          <w:szCs w:val="32"/>
          <w:u w:val="none"/>
        </w:rPr>
        <w:t>孵化器，完善“双创”政策保障和环境条件，探索行业特色高校师生创新创业模式；加大资助学生参加校内外学科竞赛、文体类竞赛和创新创业大赛的力度，进一步营造复合应用型人才培养的浓厚氛围。</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w:t>
      </w:r>
      <w:r>
        <w:rPr>
          <w:rStyle w:val="20"/>
          <w:rFonts w:hint="eastAsia" w:ascii="仿宋_GB2312" w:hAnsi="仿宋_GB2312" w:eastAsia="仿宋_GB2312"/>
          <w:b/>
          <w:color w:val="auto"/>
          <w:sz w:val="32"/>
          <w:szCs w:val="32"/>
          <w:u w:val="none"/>
          <w:lang w:val="en-US" w:eastAsia="zh-CN"/>
        </w:rPr>
        <w:t>2</w:t>
      </w:r>
      <w:r>
        <w:rPr>
          <w:rStyle w:val="20"/>
          <w:rFonts w:ascii="仿宋_GB2312" w:hAnsi="仿宋_GB2312" w:eastAsia="仿宋_GB2312"/>
          <w:b/>
          <w:color w:val="auto"/>
          <w:sz w:val="32"/>
          <w:szCs w:val="32"/>
          <w:u w:val="none"/>
        </w:rPr>
        <w:t>）加强专业群及特色专业建设。</w:t>
      </w:r>
      <w:r>
        <w:rPr>
          <w:rStyle w:val="20"/>
          <w:rFonts w:ascii="仿宋_GB2312" w:hAnsi="仿宋_GB2312" w:eastAsia="仿宋_GB2312"/>
          <w:color w:val="auto"/>
          <w:sz w:val="32"/>
          <w:szCs w:val="32"/>
          <w:u w:val="none"/>
        </w:rPr>
        <w:t>以优势特色学科为支撑，凸显专业集群优势，加强“特色主干专业群”“特色协同专业群”“特色支撑专业群”建设，努力实现“特”而“优”，在编辑出版学、数字出版、数字媒体艺术、视觉传达设计、印刷工程、包装工程等专业领域整合资源，调整结构，集群发展，着力打造</w:t>
      </w:r>
      <w:r>
        <w:rPr>
          <w:rStyle w:val="20"/>
          <w:rFonts w:hint="eastAsia" w:ascii="仿宋_GB2312" w:hAnsi="仿宋_GB2312" w:eastAsia="仿宋_GB2312" w:cs="Times New Roman"/>
          <w:color w:val="auto"/>
          <w:sz w:val="32"/>
          <w:szCs w:val="32"/>
          <w:u w:val="none"/>
        </w:rPr>
        <w:t>“</w:t>
      </w:r>
      <w:r>
        <w:rPr>
          <w:rStyle w:val="20"/>
          <w:rFonts w:ascii="仿宋_GB2312" w:hAnsi="仿宋_GB2312" w:eastAsia="仿宋_GB2312"/>
          <w:color w:val="auto"/>
          <w:sz w:val="32"/>
          <w:szCs w:val="32"/>
          <w:u w:val="none"/>
        </w:rPr>
        <w:t>专业高原</w:t>
      </w:r>
      <w:r>
        <w:rPr>
          <w:rStyle w:val="20"/>
          <w:rFonts w:hint="eastAsia" w:ascii="仿宋_GB2312" w:hAnsi="仿宋_GB2312" w:eastAsia="仿宋_GB2312" w:cs="Times New Roman"/>
          <w:color w:val="auto"/>
          <w:sz w:val="32"/>
          <w:szCs w:val="32"/>
          <w:u w:val="none"/>
        </w:rPr>
        <w:t>”</w:t>
      </w:r>
      <w:r>
        <w:rPr>
          <w:rStyle w:val="20"/>
          <w:rFonts w:ascii="仿宋_GB2312" w:hAnsi="仿宋_GB2312" w:eastAsia="仿宋_GB2312"/>
          <w:color w:val="auto"/>
          <w:sz w:val="32"/>
          <w:szCs w:val="32"/>
          <w:u w:val="none"/>
        </w:rPr>
        <w:t>和</w:t>
      </w:r>
      <w:r>
        <w:rPr>
          <w:rStyle w:val="20"/>
          <w:rFonts w:hint="eastAsia" w:ascii="仿宋_GB2312" w:hAnsi="仿宋_GB2312" w:eastAsia="仿宋_GB2312" w:cs="Times New Roman"/>
          <w:color w:val="auto"/>
          <w:sz w:val="32"/>
          <w:szCs w:val="32"/>
          <w:u w:val="none"/>
        </w:rPr>
        <w:t>“</w:t>
      </w:r>
      <w:r>
        <w:rPr>
          <w:rStyle w:val="20"/>
          <w:rFonts w:ascii="仿宋_GB2312" w:hAnsi="仿宋_GB2312" w:eastAsia="仿宋_GB2312"/>
          <w:color w:val="auto"/>
          <w:sz w:val="32"/>
          <w:szCs w:val="32"/>
          <w:u w:val="none"/>
        </w:rPr>
        <w:t>专业高峰</w:t>
      </w:r>
      <w:r>
        <w:rPr>
          <w:rStyle w:val="20"/>
          <w:rFonts w:hint="eastAsia" w:ascii="仿宋_GB2312" w:hAnsi="仿宋_GB2312" w:eastAsia="仿宋_GB2312" w:cs="Times New Roman"/>
          <w:color w:val="auto"/>
          <w:sz w:val="32"/>
          <w:szCs w:val="32"/>
          <w:u w:val="none"/>
        </w:rPr>
        <w:t>”</w:t>
      </w:r>
      <w:r>
        <w:rPr>
          <w:rStyle w:val="20"/>
          <w:rFonts w:ascii="仿宋_GB2312" w:hAnsi="仿宋_GB2312" w:eastAsia="仿宋_GB2312"/>
          <w:color w:val="auto"/>
          <w:sz w:val="32"/>
          <w:szCs w:val="32"/>
          <w:u w:val="none"/>
        </w:rPr>
        <w:t>，增强专业群竞争力；加强专业内涵建设，调整专业方向，强化产教融合校企合作，适时增设适应</w:t>
      </w:r>
      <w:r>
        <w:rPr>
          <w:rStyle w:val="20"/>
          <w:rFonts w:hint="eastAsia" w:ascii="仿宋_GB2312" w:hAnsi="仿宋_GB2312" w:eastAsia="仿宋_GB2312"/>
          <w:color w:val="auto"/>
          <w:sz w:val="32"/>
          <w:szCs w:val="32"/>
          <w:u w:val="none"/>
        </w:rPr>
        <w:t>国家文化强国建设、</w:t>
      </w:r>
      <w:r>
        <w:rPr>
          <w:rStyle w:val="20"/>
          <w:rFonts w:ascii="仿宋_GB2312" w:hAnsi="仿宋_GB2312" w:eastAsia="仿宋_GB2312"/>
          <w:color w:val="auto"/>
          <w:sz w:val="32"/>
          <w:szCs w:val="32"/>
          <w:u w:val="none"/>
        </w:rPr>
        <w:t>北京</w:t>
      </w:r>
      <w:r>
        <w:rPr>
          <w:rStyle w:val="20"/>
          <w:rFonts w:hint="eastAsia" w:ascii="仿宋_GB2312" w:hAnsi="仿宋_GB2312" w:eastAsia="仿宋_GB2312"/>
          <w:color w:val="auto"/>
          <w:sz w:val="32"/>
          <w:szCs w:val="32"/>
          <w:u w:val="none"/>
        </w:rPr>
        <w:t>经济社会</w:t>
      </w:r>
      <w:r>
        <w:rPr>
          <w:rStyle w:val="20"/>
          <w:rFonts w:ascii="仿宋_GB2312" w:hAnsi="仿宋_GB2312" w:eastAsia="仿宋_GB2312"/>
          <w:color w:val="auto"/>
          <w:sz w:val="32"/>
          <w:szCs w:val="32"/>
          <w:u w:val="none"/>
        </w:rPr>
        <w:t>和</w:t>
      </w:r>
      <w:r>
        <w:rPr>
          <w:rStyle w:val="20"/>
          <w:rFonts w:hint="eastAsia" w:ascii="仿宋_GB2312" w:hAnsi="仿宋_GB2312" w:eastAsia="仿宋_GB2312"/>
          <w:color w:val="auto"/>
          <w:sz w:val="32"/>
          <w:szCs w:val="32"/>
          <w:u w:val="none"/>
        </w:rPr>
        <w:t>新闻出版</w:t>
      </w:r>
      <w:r>
        <w:rPr>
          <w:rStyle w:val="20"/>
          <w:rFonts w:ascii="仿宋_GB2312" w:hAnsi="仿宋_GB2312" w:eastAsia="仿宋_GB2312"/>
          <w:color w:val="auto"/>
          <w:sz w:val="32"/>
          <w:szCs w:val="32"/>
          <w:u w:val="none"/>
        </w:rPr>
        <w:t>业发展</w:t>
      </w:r>
      <w:r>
        <w:rPr>
          <w:rStyle w:val="20"/>
          <w:rFonts w:hint="eastAsia" w:ascii="仿宋_GB2312" w:hAnsi="仿宋_GB2312" w:eastAsia="仿宋_GB2312" w:cs="Times New Roman"/>
          <w:color w:val="auto"/>
          <w:sz w:val="32"/>
          <w:szCs w:val="32"/>
          <w:u w:val="none"/>
        </w:rPr>
        <w:t>需求</w:t>
      </w:r>
      <w:r>
        <w:rPr>
          <w:rStyle w:val="20"/>
          <w:rFonts w:ascii="仿宋_GB2312" w:hAnsi="仿宋_GB2312" w:eastAsia="仿宋_GB2312"/>
          <w:color w:val="auto"/>
          <w:sz w:val="32"/>
          <w:szCs w:val="32"/>
          <w:u w:val="none"/>
        </w:rPr>
        <w:t>的</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新材料、新媒体、新经济</w:t>
      </w:r>
      <w:r>
        <w:rPr>
          <w:rStyle w:val="20"/>
          <w:rFonts w:hint="eastAsia" w:ascii="仿宋_GB2312" w:hAnsi="仿宋_GB2312" w:eastAsia="仿宋_GB2312" w:cs="Times New Roman"/>
          <w:color w:val="auto"/>
          <w:sz w:val="32"/>
          <w:szCs w:val="32"/>
          <w:u w:val="none"/>
        </w:rPr>
        <w:t>以及</w:t>
      </w:r>
      <w:r>
        <w:rPr>
          <w:rStyle w:val="20"/>
          <w:rFonts w:ascii="仿宋_GB2312" w:hAnsi="仿宋_GB2312" w:eastAsia="仿宋_GB2312"/>
          <w:color w:val="auto"/>
          <w:sz w:val="32"/>
          <w:szCs w:val="32"/>
          <w:u w:val="none"/>
        </w:rPr>
        <w:t>文化产业</w:t>
      </w:r>
      <w:r>
        <w:rPr>
          <w:rStyle w:val="20"/>
          <w:rFonts w:hint="eastAsia" w:ascii="仿宋_GB2312" w:hAnsi="仿宋_GB2312" w:eastAsia="仿宋_GB2312" w:cs="Times New Roman"/>
          <w:color w:val="auto"/>
          <w:sz w:val="32"/>
          <w:szCs w:val="32"/>
          <w:u w:val="none"/>
        </w:rPr>
        <w:t>相关的</w:t>
      </w:r>
      <w:r>
        <w:rPr>
          <w:rStyle w:val="20"/>
          <w:rFonts w:ascii="仿宋_GB2312" w:hAnsi="仿宋_GB2312" w:eastAsia="仿宋_GB2312"/>
          <w:color w:val="auto"/>
          <w:sz w:val="32"/>
          <w:szCs w:val="32"/>
          <w:u w:val="none"/>
        </w:rPr>
        <w:t>交叉学科专业。</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w:t>
      </w:r>
      <w:r>
        <w:rPr>
          <w:rStyle w:val="20"/>
          <w:rFonts w:hint="eastAsia" w:ascii="仿宋_GB2312" w:hAnsi="仿宋_GB2312" w:eastAsia="仿宋_GB2312"/>
          <w:b/>
          <w:color w:val="auto"/>
          <w:sz w:val="32"/>
          <w:szCs w:val="32"/>
          <w:u w:val="none"/>
        </w:rPr>
        <w:t>3</w:t>
      </w:r>
      <w:r>
        <w:rPr>
          <w:rStyle w:val="20"/>
          <w:rFonts w:ascii="仿宋_GB2312" w:hAnsi="仿宋_GB2312" w:eastAsia="仿宋_GB2312"/>
          <w:b/>
          <w:color w:val="auto"/>
          <w:sz w:val="32"/>
          <w:szCs w:val="32"/>
          <w:u w:val="none"/>
        </w:rPr>
        <w:t>）优化课程体系和教学模式。</w:t>
      </w:r>
      <w:r>
        <w:rPr>
          <w:rStyle w:val="20"/>
          <w:rFonts w:ascii="仿宋_GB2312" w:hAnsi="仿宋_GB2312" w:eastAsia="仿宋_GB2312"/>
          <w:color w:val="auto"/>
          <w:sz w:val="32"/>
          <w:szCs w:val="32"/>
          <w:u w:val="none"/>
        </w:rPr>
        <w:t>以精品课程建设为抓手，加大“金课”课程资源和平台建设力度；以提高学生全面素质为中心，加强基础课程建设，构建通识教育与专业教育相结合、理论教学与实践教学相协调的人才培养课程体系；以提高学生学习效果为中</w:t>
      </w:r>
      <w:r>
        <w:rPr>
          <w:rStyle w:val="20"/>
          <w:rFonts w:ascii="仿宋_GB2312" w:hAnsi="仿宋_GB2312" w:eastAsia="仿宋_GB2312" w:cs="Times New Roman"/>
          <w:color w:val="auto"/>
          <w:sz w:val="32"/>
          <w:szCs w:val="32"/>
          <w:u w:val="none"/>
        </w:rPr>
        <w:t>心，</w:t>
      </w:r>
      <w:r>
        <w:rPr>
          <w:rStyle w:val="20"/>
          <w:rFonts w:ascii="仿宋_GB2312" w:hAnsi="仿宋_GB2312" w:eastAsia="仿宋_GB2312"/>
          <w:color w:val="auto"/>
          <w:sz w:val="32"/>
          <w:szCs w:val="32"/>
          <w:u w:val="none"/>
        </w:rPr>
        <w:t>构建线上线下相结合、探究型学习的教学模式，强化协同育人效应。</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w:t>
      </w:r>
      <w:r>
        <w:rPr>
          <w:rStyle w:val="20"/>
          <w:rFonts w:hint="eastAsia" w:ascii="仿宋_GB2312" w:hAnsi="仿宋_GB2312" w:eastAsia="仿宋_GB2312"/>
          <w:b/>
          <w:color w:val="auto"/>
          <w:sz w:val="32"/>
          <w:szCs w:val="32"/>
          <w:u w:val="none"/>
        </w:rPr>
        <w:t>4</w:t>
      </w:r>
      <w:r>
        <w:rPr>
          <w:rStyle w:val="20"/>
          <w:rFonts w:ascii="仿宋_GB2312" w:hAnsi="仿宋_GB2312" w:eastAsia="仿宋_GB2312"/>
          <w:b/>
          <w:color w:val="auto"/>
          <w:sz w:val="32"/>
          <w:szCs w:val="32"/>
          <w:u w:val="none"/>
        </w:rPr>
        <w:t>）大力发展研究生教育。</w:t>
      </w:r>
      <w:r>
        <w:rPr>
          <w:rStyle w:val="20"/>
          <w:rFonts w:ascii="仿宋_GB2312" w:hAnsi="仿宋_GB2312" w:eastAsia="仿宋_GB2312"/>
          <w:color w:val="auto"/>
          <w:sz w:val="32"/>
          <w:szCs w:val="32"/>
          <w:u w:val="none"/>
        </w:rPr>
        <w:t>推进研究生教育教学改革，健全研究生教育质量保障体系，不断完善研究生分类培养模式，加强导师队伍建设，完善科学评价体系，促进生源质量不断提高、培养规模不断扩大、培养层次不断提升，高水平科研成果不断增多，全面建成规模结构适应需求、培养模式特色明显、整体质量不断提升、创新人才不断涌现的研究生教育体系。</w:t>
      </w:r>
    </w:p>
    <w:p>
      <w:pPr>
        <w:spacing w:line="560" w:lineRule="exact"/>
        <w:ind w:firstLine="643" w:firstLineChars="200"/>
        <w:rPr>
          <w:rStyle w:val="20"/>
          <w:rFonts w:hint="eastAsia" w:ascii="仿宋_GB2312" w:hAnsi="仿宋_GB2312" w:eastAsia="仿宋_GB2312"/>
          <w:color w:val="auto"/>
          <w:sz w:val="32"/>
          <w:szCs w:val="32"/>
          <w:u w:val="none"/>
          <w:lang w:eastAsia="zh-CN"/>
        </w:rPr>
      </w:pPr>
      <w:r>
        <w:rPr>
          <w:rStyle w:val="20"/>
          <w:rFonts w:ascii="仿宋_GB2312" w:hAnsi="仿宋_GB2312" w:eastAsia="仿宋_GB2312"/>
          <w:b/>
          <w:color w:val="auto"/>
          <w:sz w:val="32"/>
          <w:szCs w:val="32"/>
          <w:u w:val="none"/>
        </w:rPr>
        <w:t>（</w:t>
      </w:r>
      <w:r>
        <w:rPr>
          <w:rStyle w:val="20"/>
          <w:rFonts w:hint="eastAsia" w:ascii="仿宋_GB2312" w:hAnsi="仿宋_GB2312" w:eastAsia="仿宋_GB2312"/>
          <w:b/>
          <w:color w:val="auto"/>
          <w:sz w:val="32"/>
          <w:szCs w:val="32"/>
          <w:u w:val="none"/>
        </w:rPr>
        <w:t>5</w:t>
      </w:r>
      <w:r>
        <w:rPr>
          <w:rStyle w:val="20"/>
          <w:rFonts w:ascii="仿宋_GB2312" w:hAnsi="仿宋_GB2312" w:eastAsia="仿宋_GB2312"/>
          <w:b/>
          <w:color w:val="auto"/>
          <w:sz w:val="32"/>
          <w:szCs w:val="32"/>
          <w:u w:val="none"/>
        </w:rPr>
        <w:t>）健全教学质量监控与保障体系。</w:t>
      </w:r>
      <w:r>
        <w:rPr>
          <w:rStyle w:val="20"/>
          <w:rFonts w:hint="eastAsia" w:ascii="仿宋_GB2312" w:hAnsi="仿宋_GB2312" w:eastAsia="仿宋_GB2312" w:cs="Times New Roman"/>
          <w:color w:val="auto"/>
          <w:sz w:val="32"/>
          <w:szCs w:val="32"/>
          <w:u w:val="none"/>
          <w:lang w:eastAsia="zh-CN"/>
        </w:rPr>
        <w:t>以</w:t>
      </w:r>
      <w:r>
        <w:rPr>
          <w:rStyle w:val="20"/>
          <w:rFonts w:hint="eastAsia" w:ascii="仿宋_GB2312" w:hAnsi="仿宋_GB2312" w:eastAsia="仿宋_GB2312"/>
          <w:color w:val="auto"/>
          <w:sz w:val="32"/>
          <w:szCs w:val="32"/>
          <w:u w:val="none"/>
        </w:rPr>
        <w:t>迎接新一轮本科教育教学审核评估工作</w:t>
      </w:r>
      <w:r>
        <w:rPr>
          <w:rStyle w:val="20"/>
          <w:rFonts w:hint="eastAsia" w:ascii="仿宋_GB2312" w:hAnsi="仿宋_GB2312" w:eastAsia="仿宋_GB2312"/>
          <w:color w:val="auto"/>
          <w:sz w:val="32"/>
          <w:szCs w:val="32"/>
          <w:u w:val="none"/>
          <w:lang w:eastAsia="zh-CN"/>
        </w:rPr>
        <w:t>为契机</w:t>
      </w:r>
      <w:r>
        <w:rPr>
          <w:rStyle w:val="20"/>
          <w:rFonts w:ascii="仿宋_GB2312" w:hAnsi="仿宋_GB2312" w:eastAsia="仿宋_GB2312"/>
          <w:color w:val="auto"/>
          <w:sz w:val="32"/>
          <w:szCs w:val="32"/>
          <w:u w:val="none"/>
        </w:rPr>
        <w:t>，完善教育教学制度体系</w:t>
      </w:r>
      <w:r>
        <w:rPr>
          <w:rStyle w:val="20"/>
          <w:rFonts w:hint="eastAsia" w:ascii="仿宋_GB2312" w:hAnsi="仿宋_GB2312" w:eastAsia="仿宋_GB2312"/>
          <w:color w:val="auto"/>
          <w:sz w:val="32"/>
          <w:szCs w:val="32"/>
          <w:u w:val="none"/>
          <w:lang w:eastAsia="zh-CN"/>
        </w:rPr>
        <w:t>，</w:t>
      </w:r>
      <w:r>
        <w:rPr>
          <w:rStyle w:val="20"/>
          <w:rFonts w:ascii="仿宋_GB2312" w:hAnsi="仿宋_GB2312" w:eastAsia="仿宋_GB2312"/>
          <w:color w:val="auto"/>
          <w:sz w:val="32"/>
          <w:szCs w:val="32"/>
          <w:u w:val="none"/>
        </w:rPr>
        <w:t>推进适应普及化高等教育阶段的教学管理与运行机制改革，优化教育教学工作环境，健全管评分离的质量建设评估机制，推进教学管理和教学质量第三方监测评价工作；实施全面动态检查，完善过程管理，形成科学有效、持续改进的闭环监控体系；拓宽质量信息反馈的渠道，为人才培养提供多维度反馈和改进依据，确保人才培养质量不断提升</w:t>
      </w:r>
      <w:r>
        <w:rPr>
          <w:rStyle w:val="20"/>
          <w:rFonts w:hint="eastAsia" w:ascii="仿宋_GB2312" w:hAnsi="仿宋_GB2312" w:eastAsia="仿宋_GB2312"/>
          <w:color w:val="auto"/>
          <w:sz w:val="32"/>
          <w:szCs w:val="32"/>
          <w:u w:val="none"/>
          <w:lang w:eastAsia="zh-CN"/>
        </w:rPr>
        <w:t>。</w:t>
      </w:r>
    </w:p>
    <w:p>
      <w:pPr>
        <w:pStyle w:val="3"/>
        <w:spacing w:line="560" w:lineRule="exact"/>
        <w:ind w:firstLine="643" w:firstLineChars="200"/>
        <w:rPr>
          <w:rFonts w:ascii="楷体_GB2312" w:hAnsi="楷体_GB2312" w:eastAsia="楷体_GB2312" w:cs="楷体_GB2312"/>
          <w:color w:val="auto"/>
          <w:u w:val="none"/>
        </w:rPr>
      </w:pPr>
      <w:bookmarkStart w:id="252" w:name="_Toc27906"/>
      <w:r>
        <w:rPr>
          <w:rFonts w:hint="eastAsia" w:ascii="楷体_GB2312" w:hAnsi="楷体_GB2312" w:eastAsia="楷体_GB2312" w:cs="楷体_GB2312"/>
          <w:color w:val="auto"/>
          <w:u w:val="none"/>
        </w:rPr>
        <w:t>（四）</w:t>
      </w:r>
      <w:r>
        <w:rPr>
          <w:rFonts w:hint="eastAsia" w:ascii="楷体_GB2312" w:hAnsi="楷体_GB2312" w:eastAsia="楷体_GB2312" w:cs="楷体_GB2312"/>
          <w:color w:val="auto"/>
          <w:u w:val="none"/>
          <w:lang w:eastAsia="zh-CN"/>
        </w:rPr>
        <w:t>科研</w:t>
      </w:r>
      <w:r>
        <w:rPr>
          <w:rFonts w:hint="eastAsia" w:ascii="楷体_GB2312" w:hAnsi="楷体_GB2312" w:eastAsia="楷体_GB2312" w:cs="楷体_GB2312"/>
          <w:color w:val="auto"/>
          <w:u w:val="none"/>
        </w:rPr>
        <w:t>创新能力提升工程</w:t>
      </w:r>
      <w:bookmarkEnd w:id="190"/>
      <w:bookmarkEnd w:id="191"/>
      <w:bookmarkEnd w:id="192"/>
      <w:bookmarkEnd w:id="193"/>
      <w:bookmarkEnd w:id="194"/>
      <w:bookmarkEnd w:id="195"/>
      <w:bookmarkEnd w:id="196"/>
      <w:bookmarkEnd w:id="197"/>
      <w:bookmarkEnd w:id="198"/>
      <w:bookmarkEnd w:id="199"/>
      <w:bookmarkEnd w:id="221"/>
      <w:bookmarkEnd w:id="222"/>
      <w:bookmarkEnd w:id="223"/>
      <w:bookmarkEnd w:id="224"/>
      <w:bookmarkEnd w:id="225"/>
      <w:bookmarkEnd w:id="226"/>
      <w:bookmarkEnd w:id="227"/>
      <w:bookmarkEnd w:id="228"/>
      <w:bookmarkEnd w:id="229"/>
      <w:bookmarkEnd w:id="230"/>
      <w:bookmarkEnd w:id="252"/>
    </w:p>
    <w:p>
      <w:pPr>
        <w:spacing w:line="560" w:lineRule="exact"/>
        <w:ind w:firstLine="643" w:firstLineChars="200"/>
        <w:rPr>
          <w:rStyle w:val="20"/>
          <w:rFonts w:ascii="仿宋_GB2312" w:hAnsi="仿宋_GB2312" w:eastAsia="仿宋_GB2312" w:cs="仿宋_GB2312"/>
          <w:b/>
          <w:bCs/>
          <w:color w:val="auto"/>
          <w:sz w:val="32"/>
          <w:szCs w:val="32"/>
          <w:u w:val="none"/>
        </w:rPr>
      </w:pPr>
      <w:r>
        <w:rPr>
          <w:rStyle w:val="20"/>
          <w:rFonts w:ascii="仿宋_GB2312" w:hAnsi="仿宋_GB2312" w:eastAsia="仿宋_GB2312" w:cs="仿宋_GB2312"/>
          <w:b/>
          <w:bCs/>
          <w:color w:val="auto"/>
          <w:sz w:val="32"/>
          <w:szCs w:val="32"/>
          <w:u w:val="none"/>
        </w:rPr>
        <w:t>1.建设目标</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加大</w:t>
      </w:r>
      <w:r>
        <w:rPr>
          <w:rStyle w:val="20"/>
          <w:rFonts w:hint="eastAsia" w:ascii="仿宋_GB2312" w:hAnsi="仿宋_GB2312" w:eastAsia="仿宋_GB2312"/>
          <w:color w:val="auto"/>
          <w:sz w:val="32"/>
          <w:szCs w:val="32"/>
          <w:u w:val="none"/>
          <w:lang w:eastAsia="zh-CN"/>
        </w:rPr>
        <w:t>科研</w:t>
      </w:r>
      <w:r>
        <w:rPr>
          <w:rStyle w:val="20"/>
          <w:rFonts w:ascii="仿宋_GB2312" w:hAnsi="仿宋_GB2312" w:eastAsia="仿宋_GB2312"/>
          <w:color w:val="auto"/>
          <w:sz w:val="32"/>
          <w:szCs w:val="32"/>
          <w:u w:val="none"/>
        </w:rPr>
        <w:t>投入，突出政策导向，优化科研分类评价体制，激发创新活力，培育跨学科、跨领域的科研与教学相结合的团队。加强平台建设和资源共享，打造高级别的科研奖项标志性科研成果。“十四五”期间，力争建成国家级科研平台1-2个，横向科研经费提升25%左右。</w:t>
      </w:r>
    </w:p>
    <w:p>
      <w:pPr>
        <w:spacing w:line="560" w:lineRule="exact"/>
        <w:ind w:firstLine="643" w:firstLineChars="200"/>
        <w:rPr>
          <w:rStyle w:val="20"/>
          <w:rFonts w:ascii="仿宋_GB2312" w:hAnsi="仿宋_GB2312" w:eastAsia="仿宋_GB2312" w:cs="仿宋_GB2312"/>
          <w:b/>
          <w:bCs/>
          <w:color w:val="auto"/>
          <w:sz w:val="32"/>
          <w:szCs w:val="32"/>
          <w:u w:val="none"/>
        </w:rPr>
      </w:pPr>
      <w:r>
        <w:rPr>
          <w:rStyle w:val="20"/>
          <w:rFonts w:ascii="仿宋_GB2312" w:hAnsi="仿宋_GB2312" w:eastAsia="仿宋_GB2312" w:cs="仿宋_GB2312"/>
          <w:b/>
          <w:bCs/>
          <w:color w:val="auto"/>
          <w:sz w:val="32"/>
          <w:szCs w:val="32"/>
          <w:u w:val="none"/>
        </w:rPr>
        <w:t>2.主要举措</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（1）深化</w:t>
      </w:r>
      <w:r>
        <w:rPr>
          <w:rStyle w:val="20"/>
          <w:rFonts w:hint="eastAsia" w:ascii="仿宋_GB2312" w:hAnsi="仿宋_GB2312" w:eastAsia="仿宋_GB2312"/>
          <w:b/>
          <w:color w:val="auto"/>
          <w:sz w:val="32"/>
          <w:szCs w:val="32"/>
          <w:u w:val="none"/>
          <w:lang w:eastAsia="zh-CN"/>
        </w:rPr>
        <w:t>科研</w:t>
      </w:r>
      <w:r>
        <w:rPr>
          <w:rStyle w:val="20"/>
          <w:rFonts w:ascii="仿宋_GB2312" w:hAnsi="仿宋_GB2312" w:eastAsia="仿宋_GB2312"/>
          <w:b/>
          <w:color w:val="auto"/>
          <w:sz w:val="32"/>
          <w:szCs w:val="32"/>
          <w:u w:val="none"/>
        </w:rPr>
        <w:t>体制机制改革。</w:t>
      </w:r>
      <w:r>
        <w:rPr>
          <w:rStyle w:val="20"/>
          <w:rFonts w:ascii="仿宋_GB2312" w:hAnsi="仿宋_GB2312" w:eastAsia="仿宋_GB2312"/>
          <w:color w:val="auto"/>
          <w:sz w:val="32"/>
          <w:szCs w:val="32"/>
          <w:u w:val="none"/>
        </w:rPr>
        <w:t>紧密结合北京经济社会和新闻出版业发展需要，制定</w:t>
      </w:r>
      <w:r>
        <w:rPr>
          <w:rStyle w:val="20"/>
          <w:rFonts w:hint="eastAsia" w:ascii="仿宋_GB2312" w:hAnsi="仿宋_GB2312" w:eastAsia="仿宋_GB2312"/>
          <w:color w:val="auto"/>
          <w:sz w:val="32"/>
          <w:szCs w:val="32"/>
          <w:u w:val="none"/>
          <w:lang w:eastAsia="zh-CN"/>
        </w:rPr>
        <w:t>科研</w:t>
      </w:r>
      <w:r>
        <w:rPr>
          <w:rStyle w:val="20"/>
          <w:rFonts w:ascii="仿宋_GB2312" w:hAnsi="仿宋_GB2312" w:eastAsia="仿宋_GB2312"/>
          <w:color w:val="auto"/>
          <w:sz w:val="32"/>
          <w:szCs w:val="32"/>
          <w:u w:val="none"/>
        </w:rPr>
        <w:t>创新工作规划。健全学校学术治理体系，构建公平公正的学术环境。健全科研经费管理制度，建立科研经费风险防控和安全管理机制。优化科研管理流程，实现由单纯管理向提供全方位服务和组织引导协同创新的方式转变。完善</w:t>
      </w:r>
      <w:r>
        <w:rPr>
          <w:rStyle w:val="20"/>
          <w:rFonts w:hint="eastAsia" w:ascii="仿宋_GB2312" w:hAnsi="仿宋_GB2312" w:eastAsia="仿宋_GB2312"/>
          <w:color w:val="auto"/>
          <w:sz w:val="32"/>
          <w:szCs w:val="32"/>
          <w:u w:val="none"/>
          <w:lang w:eastAsia="zh-CN"/>
        </w:rPr>
        <w:t>科研</w:t>
      </w:r>
      <w:r>
        <w:rPr>
          <w:rStyle w:val="20"/>
          <w:rFonts w:ascii="仿宋_GB2312" w:hAnsi="仿宋_GB2312" w:eastAsia="仿宋_GB2312"/>
          <w:color w:val="auto"/>
          <w:sz w:val="32"/>
          <w:szCs w:val="32"/>
          <w:u w:val="none"/>
        </w:rPr>
        <w:t>评价体系，建立科研分类评价标准和科研创新激励模式，制定以贡献力和创新质量为导向的激励政策，营造</w:t>
      </w:r>
      <w:r>
        <w:rPr>
          <w:rStyle w:val="20"/>
          <w:rFonts w:hint="eastAsia" w:ascii="仿宋_GB2312" w:hAnsi="仿宋_GB2312" w:eastAsia="仿宋_GB2312"/>
          <w:color w:val="auto"/>
          <w:sz w:val="32"/>
          <w:szCs w:val="32"/>
          <w:u w:val="none"/>
        </w:rPr>
        <w:t>浓厚</w:t>
      </w:r>
      <w:r>
        <w:rPr>
          <w:rStyle w:val="20"/>
          <w:rFonts w:ascii="仿宋_GB2312" w:hAnsi="仿宋_GB2312" w:eastAsia="仿宋_GB2312"/>
          <w:color w:val="auto"/>
          <w:sz w:val="32"/>
          <w:szCs w:val="32"/>
          <w:u w:val="none"/>
        </w:rPr>
        <w:t>科研氛围，激发教师科研创新潜力。</w:t>
      </w:r>
    </w:p>
    <w:p>
      <w:pPr>
        <w:pStyle w:val="24"/>
        <w:spacing w:after="0" w:line="560" w:lineRule="exact"/>
        <w:ind w:left="0" w:leftChars="0"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（2）加强科研创新团队建设。</w:t>
      </w:r>
      <w:r>
        <w:rPr>
          <w:rStyle w:val="20"/>
          <w:rFonts w:ascii="仿宋_GB2312" w:hAnsi="仿宋_GB2312" w:eastAsia="仿宋_GB2312"/>
          <w:color w:val="auto"/>
          <w:sz w:val="32"/>
          <w:szCs w:val="32"/>
          <w:u w:val="none"/>
        </w:rPr>
        <w:t>以重点实验室、工程技术研究中心、社会科学研究基地为依托，优化整合科研力量，发挥人才积聚效应，打造一批高水平科研创新团队。以学术带头人为中心，以国家、新闻出版业和北京重大需求为导向，深入开展协同创新活动，合力申报高级别研究课题和承担重大横向项目，促进产出具有标志性和高显示度的科研成果，实现国家级科研奖励的突破。</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（3）加强科研平台内涵建设。</w:t>
      </w:r>
      <w:r>
        <w:rPr>
          <w:rStyle w:val="20"/>
          <w:rFonts w:ascii="仿宋_GB2312" w:hAnsi="仿宋_GB2312" w:eastAsia="仿宋_GB2312"/>
          <w:color w:val="auto"/>
          <w:sz w:val="32"/>
          <w:szCs w:val="32"/>
          <w:u w:val="none"/>
        </w:rPr>
        <w:t>以提高</w:t>
      </w:r>
      <w:r>
        <w:rPr>
          <w:rStyle w:val="20"/>
          <w:rFonts w:hint="eastAsia" w:ascii="仿宋_GB2312" w:hAnsi="仿宋_GB2312" w:eastAsia="仿宋_GB2312"/>
          <w:color w:val="auto"/>
          <w:sz w:val="32"/>
          <w:szCs w:val="32"/>
          <w:u w:val="none"/>
          <w:lang w:eastAsia="zh-CN"/>
        </w:rPr>
        <w:t>科研</w:t>
      </w:r>
      <w:r>
        <w:rPr>
          <w:rStyle w:val="20"/>
          <w:rFonts w:ascii="仿宋_GB2312" w:hAnsi="仿宋_GB2312" w:eastAsia="仿宋_GB2312"/>
          <w:color w:val="auto"/>
          <w:sz w:val="32"/>
          <w:szCs w:val="32"/>
          <w:u w:val="none"/>
        </w:rPr>
        <w:t>自主创新能力为宗旨，以国家数字复合出版系统工程实验室、北京文化产业与出版传媒研究基地等重点实验室为龙头，整合学校现有资源，逐步建立国家级、省部级、校级三级实验平台体系，实现不同学科、团队、平台之间资源共享。</w:t>
      </w:r>
      <w:r>
        <w:rPr>
          <w:rStyle w:val="20"/>
          <w:rFonts w:ascii="仿宋_GB2312" w:hAnsi="仿宋_GB2312" w:eastAsia="仿宋_GB2312" w:cs="仿宋_GB2312"/>
          <w:bCs/>
          <w:color w:val="auto"/>
          <w:sz w:val="32"/>
          <w:szCs w:val="32"/>
          <w:u w:val="none"/>
        </w:rPr>
        <w:t>加强国际科研合作创新，</w:t>
      </w:r>
      <w:r>
        <w:rPr>
          <w:rStyle w:val="20"/>
          <w:rFonts w:ascii="仿宋_GB2312" w:hAnsi="仿宋_GB2312" w:eastAsia="仿宋_GB2312"/>
          <w:color w:val="auto"/>
          <w:sz w:val="32"/>
          <w:szCs w:val="32"/>
          <w:u w:val="none"/>
        </w:rPr>
        <w:t>建设高水平国际合作平台。积极承担国际合作任务，构建国内外创新资源深度融合、科研与应用相互促进、</w:t>
      </w:r>
      <w:r>
        <w:rPr>
          <w:rStyle w:val="20"/>
          <w:rFonts w:hint="eastAsia" w:ascii="仿宋_GB2312" w:hAnsi="仿宋_GB2312" w:eastAsia="仿宋_GB2312"/>
          <w:color w:val="auto"/>
          <w:sz w:val="32"/>
          <w:szCs w:val="32"/>
          <w:u w:val="none"/>
          <w:lang w:eastAsia="zh-CN"/>
        </w:rPr>
        <w:t>科研</w:t>
      </w:r>
      <w:r>
        <w:rPr>
          <w:rStyle w:val="20"/>
          <w:rFonts w:ascii="仿宋_GB2312" w:hAnsi="仿宋_GB2312" w:eastAsia="仿宋_GB2312"/>
          <w:color w:val="auto"/>
          <w:sz w:val="32"/>
          <w:szCs w:val="32"/>
          <w:u w:val="none"/>
        </w:rPr>
        <w:t>创新与人才培养有机结合的长效机制。</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（4）优化科研项目体系。</w:t>
      </w:r>
      <w:r>
        <w:rPr>
          <w:rStyle w:val="20"/>
          <w:rFonts w:ascii="仿宋_GB2312" w:hAnsi="仿宋_GB2312" w:eastAsia="仿宋_GB2312"/>
          <w:color w:val="auto"/>
          <w:sz w:val="32"/>
          <w:szCs w:val="32"/>
          <w:u w:val="none"/>
        </w:rPr>
        <w:t>实施基础研究项目，坚持自由探索和目标导向相结合，强化应用基础研究；实施研发计划项目，面向涉及行业核心竞争力、整体自主创新能力的战略性、前瞻性重大科学问题和重大共性关键技术、产品方面的需求，设立研发计划资助项目；实施创新团队项目，加速创新人才团队培育；实施平台支持项目，支持科研平台发展壮大，为申报省部级重点实验室、工程中心等奠定基础。</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（5）促进</w:t>
      </w:r>
      <w:r>
        <w:rPr>
          <w:rStyle w:val="20"/>
          <w:rFonts w:hint="eastAsia" w:ascii="仿宋_GB2312" w:hAnsi="仿宋_GB2312" w:eastAsia="仿宋_GB2312"/>
          <w:b/>
          <w:color w:val="auto"/>
          <w:sz w:val="32"/>
          <w:szCs w:val="32"/>
          <w:u w:val="none"/>
          <w:lang w:eastAsia="zh-CN"/>
        </w:rPr>
        <w:t>科研</w:t>
      </w:r>
      <w:r>
        <w:rPr>
          <w:rStyle w:val="20"/>
          <w:rFonts w:ascii="仿宋_GB2312" w:hAnsi="仿宋_GB2312" w:eastAsia="仿宋_GB2312"/>
          <w:b/>
          <w:color w:val="auto"/>
          <w:sz w:val="32"/>
          <w:szCs w:val="32"/>
          <w:u w:val="none"/>
        </w:rPr>
        <w:t>成果转化。</w:t>
      </w:r>
      <w:r>
        <w:rPr>
          <w:rStyle w:val="20"/>
          <w:rFonts w:ascii="仿宋_GB2312" w:hAnsi="仿宋_GB2312" w:eastAsia="仿宋_GB2312" w:cs="仿宋_GB2312"/>
          <w:bCs/>
          <w:color w:val="auto"/>
          <w:sz w:val="32"/>
          <w:szCs w:val="32"/>
          <w:u w:val="none"/>
        </w:rPr>
        <w:t>聚焦区域和社会主义市场经济发展需求，</w:t>
      </w:r>
      <w:r>
        <w:rPr>
          <w:rStyle w:val="20"/>
          <w:rFonts w:ascii="仿宋_GB2312" w:hAnsi="仿宋_GB2312" w:eastAsia="仿宋_GB2312"/>
          <w:color w:val="auto"/>
          <w:sz w:val="32"/>
          <w:szCs w:val="32"/>
          <w:u w:val="none"/>
        </w:rPr>
        <w:t>改革</w:t>
      </w:r>
      <w:r>
        <w:rPr>
          <w:rStyle w:val="20"/>
          <w:rFonts w:hint="eastAsia" w:ascii="仿宋_GB2312" w:hAnsi="仿宋_GB2312" w:eastAsia="仿宋_GB2312"/>
          <w:color w:val="auto"/>
          <w:sz w:val="32"/>
          <w:szCs w:val="32"/>
          <w:u w:val="none"/>
          <w:lang w:eastAsia="zh-CN"/>
        </w:rPr>
        <w:t>科研</w:t>
      </w:r>
      <w:r>
        <w:rPr>
          <w:rStyle w:val="20"/>
          <w:rFonts w:ascii="仿宋_GB2312" w:hAnsi="仿宋_GB2312" w:eastAsia="仿宋_GB2312"/>
          <w:color w:val="auto"/>
          <w:sz w:val="32"/>
          <w:szCs w:val="32"/>
          <w:u w:val="none"/>
        </w:rPr>
        <w:t>成果转化运行机制，探索建设综合性</w:t>
      </w:r>
      <w:r>
        <w:rPr>
          <w:rStyle w:val="20"/>
          <w:rFonts w:hint="eastAsia" w:ascii="仿宋_GB2312" w:hAnsi="仿宋_GB2312" w:eastAsia="仿宋_GB2312"/>
          <w:color w:val="auto"/>
          <w:sz w:val="32"/>
          <w:szCs w:val="32"/>
          <w:u w:val="none"/>
          <w:lang w:eastAsia="zh-CN"/>
        </w:rPr>
        <w:t>科研</w:t>
      </w:r>
      <w:r>
        <w:rPr>
          <w:rStyle w:val="20"/>
          <w:rFonts w:ascii="仿宋_GB2312" w:hAnsi="仿宋_GB2312" w:eastAsia="仿宋_GB2312"/>
          <w:color w:val="auto"/>
          <w:sz w:val="32"/>
          <w:szCs w:val="32"/>
          <w:u w:val="none"/>
        </w:rPr>
        <w:t>成果转化平台，完善与政府、企业及行业协会联合建立研究所、协同研究中心等多元化多主体校企合作模式，加强对外开展科研合作、成果转化、技术推广、决策咨询、管理服务等工作，以服务求支持，以贡献求发展。</w:t>
      </w:r>
    </w:p>
    <w:p>
      <w:pPr>
        <w:spacing w:line="560" w:lineRule="exact"/>
        <w:ind w:firstLine="643" w:firstLineChars="200"/>
        <w:rPr>
          <w:rStyle w:val="20"/>
          <w:rFonts w:hint="eastAsia" w:ascii="仿宋_GB2312" w:hAnsi="仿宋_GB2312" w:eastAsia="仿宋_GB2312" w:cs="Times New Roman"/>
          <w:b w:val="0"/>
          <w:bCs w:val="0"/>
          <w:color w:val="auto"/>
          <w:sz w:val="32"/>
          <w:szCs w:val="32"/>
          <w:u w:val="none"/>
          <w:lang w:val="en-US" w:eastAsia="zh-CN"/>
        </w:rPr>
      </w:pPr>
      <w:r>
        <w:rPr>
          <w:rStyle w:val="20"/>
          <w:rFonts w:hint="eastAsia" w:ascii="仿宋_GB2312" w:hAnsi="仿宋_GB2312" w:eastAsia="仿宋_GB2312" w:cs="Times New Roman"/>
          <w:b/>
          <w:bCs/>
          <w:color w:val="auto"/>
          <w:sz w:val="32"/>
          <w:szCs w:val="32"/>
          <w:u w:val="none"/>
          <w:lang w:eastAsia="zh-CN"/>
        </w:rPr>
        <w:t>（</w:t>
      </w:r>
      <w:r>
        <w:rPr>
          <w:rStyle w:val="20"/>
          <w:rFonts w:hint="eastAsia" w:ascii="仿宋_GB2312" w:hAnsi="仿宋_GB2312" w:eastAsia="仿宋_GB2312" w:cs="Times New Roman"/>
          <w:b/>
          <w:bCs/>
          <w:color w:val="auto"/>
          <w:sz w:val="32"/>
          <w:szCs w:val="32"/>
          <w:u w:val="none"/>
          <w:lang w:val="en-US" w:eastAsia="zh-CN"/>
        </w:rPr>
        <w:t>6</w:t>
      </w:r>
      <w:r>
        <w:rPr>
          <w:rStyle w:val="20"/>
          <w:rFonts w:hint="eastAsia" w:ascii="仿宋_GB2312" w:hAnsi="仿宋_GB2312" w:eastAsia="仿宋_GB2312" w:cs="Times New Roman"/>
          <w:b/>
          <w:bCs/>
          <w:color w:val="auto"/>
          <w:sz w:val="32"/>
          <w:szCs w:val="32"/>
          <w:u w:val="none"/>
          <w:lang w:eastAsia="zh-CN"/>
        </w:rPr>
        <w:t>）服务北京科技创新中心建设。</w:t>
      </w:r>
      <w:r>
        <w:rPr>
          <w:rStyle w:val="20"/>
          <w:rFonts w:hint="eastAsia" w:ascii="仿宋_GB2312" w:hAnsi="仿宋_GB2312" w:eastAsia="仿宋_GB2312" w:cs="Times New Roman"/>
          <w:b w:val="0"/>
          <w:bCs w:val="0"/>
          <w:color w:val="auto"/>
          <w:sz w:val="32"/>
          <w:szCs w:val="32"/>
          <w:u w:val="none"/>
          <w:lang w:eastAsia="zh-CN"/>
        </w:rPr>
        <w:t>主动承接国家重大科技任务，加强校地资源互动和产学研一体化，加强国家级大学科技园建设，发展高端创业孵化平台，打造科技产业智库，协同推进技术创新、企业孵化和产业育成，鼓励孵化成熟企业向产业转移，助推北京打造全国科创中心。力争在服务北京科技创新中心建设的国家级项目和成果方面取得新突破，形成一批具有示范效应和产业拉动作用的成果，推动北京“四个中心”建设和新闻出版业高质量发展。</w:t>
      </w:r>
    </w:p>
    <w:p>
      <w:pPr>
        <w:pStyle w:val="3"/>
        <w:spacing w:line="560" w:lineRule="exact"/>
        <w:ind w:firstLine="643" w:firstLineChars="200"/>
        <w:rPr>
          <w:rFonts w:ascii="楷体_GB2312" w:hAnsi="楷体_GB2312" w:eastAsia="楷体_GB2312" w:cs="楷体_GB2312"/>
          <w:color w:val="auto"/>
          <w:u w:val="none"/>
        </w:rPr>
      </w:pPr>
      <w:bookmarkStart w:id="253" w:name="_Toc2273"/>
      <w:bookmarkStart w:id="254" w:name="_Toc23871"/>
      <w:bookmarkStart w:id="255" w:name="_Toc20960"/>
      <w:bookmarkStart w:id="256" w:name="_Toc14595"/>
      <w:bookmarkStart w:id="257" w:name="_Toc12237"/>
      <w:bookmarkStart w:id="258" w:name="_Toc29451"/>
      <w:bookmarkStart w:id="259" w:name="_Toc28049"/>
      <w:bookmarkStart w:id="260" w:name="_Toc18471"/>
      <w:bookmarkStart w:id="261" w:name="_Toc27248"/>
      <w:bookmarkStart w:id="262" w:name="_Toc14607"/>
      <w:bookmarkStart w:id="263" w:name="_Toc2171"/>
      <w:bookmarkStart w:id="264" w:name="_Toc4278"/>
      <w:bookmarkStart w:id="265" w:name="_Toc29568"/>
      <w:bookmarkStart w:id="266" w:name="_Toc1655"/>
      <w:bookmarkStart w:id="267" w:name="_Toc29633"/>
      <w:bookmarkStart w:id="268" w:name="_Toc10456"/>
      <w:bookmarkStart w:id="269" w:name="_Toc25253"/>
      <w:bookmarkStart w:id="270" w:name="_Toc1823"/>
      <w:bookmarkStart w:id="271" w:name="_Toc31702"/>
      <w:bookmarkStart w:id="272" w:name="_Toc19236"/>
      <w:bookmarkStart w:id="273" w:name="_Toc21368"/>
      <w:r>
        <w:rPr>
          <w:rFonts w:hint="eastAsia" w:ascii="楷体_GB2312" w:hAnsi="楷体_GB2312" w:eastAsia="楷体_GB2312" w:cs="楷体_GB2312"/>
          <w:color w:val="auto"/>
          <w:u w:val="none"/>
        </w:rPr>
        <w:t>（五）人才强校工程</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pPr>
        <w:spacing w:line="560" w:lineRule="exact"/>
        <w:ind w:firstLine="643" w:firstLineChars="200"/>
        <w:rPr>
          <w:rStyle w:val="20"/>
          <w:rFonts w:ascii="仿宋_GB2312" w:hAnsi="仿宋_GB2312" w:eastAsia="仿宋_GB2312"/>
          <w:b/>
          <w:color w:val="auto"/>
          <w:sz w:val="32"/>
          <w:szCs w:val="32"/>
          <w:u w:val="none"/>
        </w:rPr>
      </w:pPr>
      <w:r>
        <w:rPr>
          <w:rStyle w:val="20"/>
          <w:rFonts w:ascii="仿宋_GB2312" w:hAnsi="仿宋_GB2312" w:eastAsia="仿宋_GB2312"/>
          <w:b/>
          <w:color w:val="auto"/>
          <w:sz w:val="32"/>
          <w:szCs w:val="32"/>
          <w:u w:val="none"/>
        </w:rPr>
        <w:t>1.建设目标</w:t>
      </w:r>
    </w:p>
    <w:p>
      <w:pPr>
        <w:spacing w:line="560" w:lineRule="exact"/>
        <w:ind w:firstLine="640" w:firstLineChars="200"/>
        <w:rPr>
          <w:rStyle w:val="20"/>
          <w:rFonts w:ascii="仿宋_GB2312" w:hAnsi="仿宋_GB2312" w:eastAsia="仿宋_GB2312"/>
          <w:b/>
          <w:color w:val="auto"/>
          <w:sz w:val="32"/>
          <w:szCs w:val="32"/>
          <w:u w:val="none"/>
        </w:rPr>
      </w:pPr>
      <w:r>
        <w:rPr>
          <w:rStyle w:val="20"/>
          <w:rFonts w:ascii="仿宋_GB2312" w:hAnsi="仿宋_GB2312" w:eastAsia="仿宋_GB2312"/>
          <w:color w:val="auto"/>
          <w:sz w:val="32"/>
          <w:szCs w:val="32"/>
          <w:u w:val="none"/>
        </w:rPr>
        <w:t>按照“控制总量、优化结构、统筹兼顾、引育结合”的原则，深化人事制度改革，</w:t>
      </w:r>
      <w:r>
        <w:rPr>
          <w:rStyle w:val="20"/>
          <w:rFonts w:hint="eastAsia" w:ascii="仿宋_GB2312" w:hAnsi="仿宋_GB2312" w:eastAsia="仿宋_GB2312"/>
          <w:color w:val="auto"/>
          <w:sz w:val="32"/>
          <w:szCs w:val="32"/>
          <w:u w:val="none"/>
          <w:lang w:eastAsia="zh-CN"/>
        </w:rPr>
        <w:t>创新师资队伍建设模式，完善</w:t>
      </w:r>
      <w:r>
        <w:rPr>
          <w:rStyle w:val="20"/>
          <w:rFonts w:ascii="仿宋_GB2312" w:hAnsi="仿宋_GB2312" w:eastAsia="仿宋_GB2312"/>
          <w:color w:val="auto"/>
          <w:sz w:val="32"/>
          <w:szCs w:val="32"/>
          <w:u w:val="none"/>
        </w:rPr>
        <w:t>健全引人育人用人工作体系。分类建设，突出重点，打造名学科、名教师、名团队。到2025年，结合学校特色学科或急需发展学科，引进高水平师资团队2-3个，重点培育领军人才15-20名，师资骨干约150名，专任教师占教职工总数的65%，其中，具有博士学位的达55%左右（特色发展学科专任教师中博士学历比例达65%以上）。</w:t>
      </w:r>
    </w:p>
    <w:p>
      <w:pPr>
        <w:spacing w:line="560" w:lineRule="exact"/>
        <w:ind w:firstLine="643" w:firstLineChars="200"/>
        <w:rPr>
          <w:rStyle w:val="20"/>
          <w:rFonts w:ascii="仿宋_GB2312" w:hAnsi="仿宋_GB2312" w:eastAsia="仿宋_GB2312"/>
          <w:b/>
          <w:color w:val="auto"/>
          <w:sz w:val="32"/>
          <w:szCs w:val="32"/>
          <w:u w:val="none"/>
        </w:rPr>
      </w:pPr>
      <w:r>
        <w:rPr>
          <w:rStyle w:val="20"/>
          <w:rFonts w:ascii="仿宋_GB2312" w:hAnsi="仿宋_GB2312" w:eastAsia="仿宋_GB2312"/>
          <w:b/>
          <w:color w:val="auto"/>
          <w:sz w:val="32"/>
          <w:szCs w:val="32"/>
          <w:u w:val="none"/>
        </w:rPr>
        <w:t>2.主要举措</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cs="仿宋_GB2312"/>
          <w:b/>
          <w:bCs/>
          <w:color w:val="auto"/>
          <w:sz w:val="32"/>
          <w:szCs w:val="32"/>
          <w:u w:val="none"/>
        </w:rPr>
        <w:t>（1）统筹</w:t>
      </w:r>
      <w:r>
        <w:rPr>
          <w:rStyle w:val="20"/>
          <w:rFonts w:hint="eastAsia" w:ascii="仿宋_GB2312" w:hAnsi="仿宋_GB2312" w:eastAsia="仿宋_GB2312" w:cs="仿宋_GB2312"/>
          <w:b/>
          <w:bCs/>
          <w:color w:val="auto"/>
          <w:sz w:val="32"/>
          <w:szCs w:val="32"/>
          <w:u w:val="none"/>
          <w:lang w:eastAsia="zh-CN"/>
        </w:rPr>
        <w:t>“</w:t>
      </w:r>
      <w:r>
        <w:rPr>
          <w:rStyle w:val="20"/>
          <w:rFonts w:ascii="仿宋_GB2312" w:hAnsi="仿宋_GB2312" w:eastAsia="仿宋_GB2312" w:cs="仿宋_GB2312"/>
          <w:b/>
          <w:bCs/>
          <w:color w:val="auto"/>
          <w:sz w:val="32"/>
          <w:szCs w:val="32"/>
          <w:u w:val="none"/>
        </w:rPr>
        <w:t>三支队伍</w:t>
      </w:r>
      <w:r>
        <w:rPr>
          <w:rStyle w:val="20"/>
          <w:rFonts w:hint="eastAsia" w:ascii="仿宋_GB2312" w:hAnsi="仿宋_GB2312" w:eastAsia="仿宋_GB2312" w:cs="仿宋_GB2312"/>
          <w:b/>
          <w:bCs/>
          <w:color w:val="auto"/>
          <w:sz w:val="32"/>
          <w:szCs w:val="32"/>
          <w:u w:val="none"/>
          <w:lang w:eastAsia="zh-CN"/>
        </w:rPr>
        <w:t>”</w:t>
      </w:r>
      <w:r>
        <w:rPr>
          <w:rStyle w:val="20"/>
          <w:rFonts w:ascii="仿宋_GB2312" w:hAnsi="仿宋_GB2312" w:eastAsia="仿宋_GB2312" w:cs="仿宋_GB2312"/>
          <w:b/>
          <w:bCs/>
          <w:color w:val="auto"/>
          <w:sz w:val="32"/>
          <w:szCs w:val="32"/>
          <w:u w:val="none"/>
        </w:rPr>
        <w:t>建设。</w:t>
      </w:r>
      <w:r>
        <w:rPr>
          <w:rStyle w:val="20"/>
          <w:rFonts w:ascii="仿宋_GB2312" w:hAnsi="仿宋_GB2312" w:eastAsia="仿宋_GB2312"/>
          <w:color w:val="auto"/>
          <w:sz w:val="32"/>
          <w:szCs w:val="32"/>
          <w:u w:val="none"/>
        </w:rPr>
        <w:t>优化调整队伍结构，对教师队伍、教育管理队伍和教学科研支撑队伍进行分类建设，对高水平领军人才、中青年骨干教师进行分层建设。在人才队伍规模适度扩张的同时，更加注重质量提升；在人才队伍整体建设的同时，更加侧重高层次人才队伍建设；在促进人才个性化发展的同时，更加侧重创新团队发展。</w:t>
      </w:r>
    </w:p>
    <w:p>
      <w:pPr>
        <w:spacing w:line="560" w:lineRule="exact"/>
        <w:ind w:firstLine="643" w:firstLineChars="200"/>
        <w:rPr>
          <w:rStyle w:val="20"/>
          <w:rFonts w:ascii="仿宋_GB2312" w:hAnsi="仿宋_GB2312" w:eastAsia="仿宋_GB2312"/>
          <w:b/>
          <w:color w:val="auto"/>
          <w:sz w:val="32"/>
          <w:szCs w:val="32"/>
          <w:u w:val="none"/>
        </w:rPr>
      </w:pPr>
      <w:r>
        <w:rPr>
          <w:rStyle w:val="20"/>
          <w:rFonts w:ascii="仿宋_GB2312" w:hAnsi="仿宋_GB2312" w:eastAsia="仿宋_GB2312"/>
          <w:b/>
          <w:color w:val="auto"/>
          <w:sz w:val="32"/>
          <w:szCs w:val="32"/>
          <w:u w:val="none"/>
        </w:rPr>
        <w:t>（2）加大高层次人才引培力度。</w:t>
      </w:r>
      <w:r>
        <w:rPr>
          <w:rStyle w:val="20"/>
          <w:rFonts w:ascii="仿宋_GB2312" w:hAnsi="仿宋_GB2312" w:eastAsia="仿宋_GB2312"/>
          <w:color w:val="auto"/>
          <w:sz w:val="32"/>
          <w:szCs w:val="32"/>
          <w:u w:val="none"/>
        </w:rPr>
        <w:t>根据学校发展定位，做好人才队伍规划，统筹人才引进渠道，引育长江学者、杰出青年、高层次学术领军、行业领军人才等。优先保证重点实验室和重大科研项目的人才需求，引进和培养新兴学科、交叉学科和国际交往能力较强的高层次人才。优化人才发展环境，提升博士学历师资比例。</w:t>
      </w:r>
    </w:p>
    <w:p>
      <w:pPr>
        <w:spacing w:line="560" w:lineRule="exact"/>
        <w:ind w:firstLine="643" w:firstLineChars="200"/>
        <w:rPr>
          <w:rStyle w:val="20"/>
          <w:rFonts w:ascii="仿宋_GB2312" w:hAnsi="仿宋_GB2312" w:eastAsia="仿宋_GB2312" w:cs="仿宋_GB2312"/>
          <w:bCs/>
          <w:color w:val="auto"/>
          <w:sz w:val="32"/>
          <w:szCs w:val="32"/>
          <w:u w:val="none"/>
        </w:rPr>
      </w:pPr>
      <w:r>
        <w:rPr>
          <w:rStyle w:val="20"/>
          <w:rFonts w:ascii="仿宋_GB2312" w:hAnsi="仿宋_GB2312" w:eastAsia="仿宋_GB2312"/>
          <w:b/>
          <w:color w:val="auto"/>
          <w:sz w:val="32"/>
          <w:szCs w:val="32"/>
          <w:u w:val="none"/>
        </w:rPr>
        <w:t>（3）提高师资教育教学能力水平。</w:t>
      </w:r>
      <w:r>
        <w:rPr>
          <w:rStyle w:val="20"/>
          <w:rFonts w:ascii="仿宋_GB2312" w:hAnsi="仿宋_GB2312" w:eastAsia="仿宋_GB2312" w:cs="仿宋_GB2312"/>
          <w:bCs/>
          <w:color w:val="auto"/>
          <w:sz w:val="32"/>
          <w:szCs w:val="32"/>
          <w:u w:val="none"/>
        </w:rPr>
        <w:t>依托教师工作部和教师发展中心，开展多种形式的教师教学培训、经验交流和咨询活动，引领教师学习新技术新理念新方法</w:t>
      </w:r>
      <w:r>
        <w:rPr>
          <w:rStyle w:val="20"/>
          <w:rFonts w:hint="eastAsia" w:ascii="仿宋_GB2312" w:hAnsi="仿宋_GB2312" w:eastAsia="仿宋_GB2312" w:cs="仿宋_GB2312"/>
          <w:bCs/>
          <w:color w:val="auto"/>
          <w:sz w:val="32"/>
          <w:szCs w:val="32"/>
          <w:u w:val="none"/>
        </w:rPr>
        <w:t>，</w:t>
      </w:r>
      <w:r>
        <w:rPr>
          <w:rStyle w:val="20"/>
          <w:rFonts w:hint="eastAsia" w:ascii="仿宋_GB2312" w:hAnsi="仿宋_GB2312" w:eastAsia="仿宋_GB2312"/>
          <w:color w:val="auto"/>
          <w:sz w:val="32"/>
          <w:szCs w:val="32"/>
          <w:u w:val="none"/>
        </w:rPr>
        <w:t>不断提升教师教书育人本领</w:t>
      </w:r>
      <w:r>
        <w:rPr>
          <w:rStyle w:val="20"/>
          <w:rFonts w:ascii="仿宋_GB2312" w:hAnsi="仿宋_GB2312" w:eastAsia="仿宋_GB2312" w:cs="仿宋_GB2312"/>
          <w:bCs/>
          <w:color w:val="auto"/>
          <w:sz w:val="32"/>
          <w:szCs w:val="32"/>
          <w:u w:val="none"/>
        </w:rPr>
        <w:t>。每个本科专业建设若干稳定、活跃的核心主干课程教学团队，培育优秀教学团队和教学名师。落实青年教师导师制，帮助青年教师快速成长。加强“双师型”师资队伍建设，推进国际合作培养、行业实践锻炼、中青年骨干培养和教学技能竞赛常态化。发挥教学督导和</w:t>
      </w:r>
      <w:r>
        <w:rPr>
          <w:rStyle w:val="20"/>
          <w:rFonts w:hint="eastAsia" w:ascii="仿宋_GB2312" w:hAnsi="仿宋_GB2312" w:eastAsia="仿宋_GB2312" w:cs="仿宋_GB2312"/>
          <w:bCs/>
          <w:color w:val="auto"/>
          <w:sz w:val="32"/>
          <w:szCs w:val="32"/>
          <w:u w:val="none"/>
          <w:lang w:eastAsia="zh-CN"/>
        </w:rPr>
        <w:t>教育</w:t>
      </w:r>
      <w:r>
        <w:rPr>
          <w:rStyle w:val="20"/>
          <w:rFonts w:ascii="仿宋_GB2312" w:hAnsi="仿宋_GB2312" w:eastAsia="仿宋_GB2312" w:cs="仿宋_GB2312"/>
          <w:bCs/>
          <w:color w:val="auto"/>
          <w:sz w:val="32"/>
          <w:szCs w:val="32"/>
          <w:u w:val="none"/>
        </w:rPr>
        <w:t>评价引领作用，强化教师责任感和使命感。</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（4）建立健全</w:t>
      </w:r>
      <w:r>
        <w:rPr>
          <w:rStyle w:val="20"/>
          <w:rFonts w:hint="eastAsia" w:ascii="仿宋_GB2312" w:hAnsi="仿宋_GB2312" w:eastAsia="仿宋_GB2312"/>
          <w:b/>
          <w:bCs/>
          <w:color w:val="auto"/>
          <w:sz w:val="32"/>
          <w:szCs w:val="32"/>
          <w:u w:val="none"/>
        </w:rPr>
        <w:t>思想政治素质</w:t>
      </w:r>
      <w:r>
        <w:rPr>
          <w:rStyle w:val="20"/>
          <w:rFonts w:hint="eastAsia" w:ascii="仿宋_GB2312" w:hAnsi="仿宋_GB2312" w:eastAsia="仿宋_GB2312"/>
          <w:b/>
          <w:color w:val="auto"/>
          <w:sz w:val="32"/>
          <w:szCs w:val="32"/>
          <w:u w:val="none"/>
        </w:rPr>
        <w:t>和</w:t>
      </w:r>
      <w:r>
        <w:rPr>
          <w:rStyle w:val="20"/>
          <w:rFonts w:ascii="仿宋_GB2312" w:hAnsi="仿宋_GB2312" w:eastAsia="仿宋_GB2312"/>
          <w:b/>
          <w:color w:val="auto"/>
          <w:sz w:val="32"/>
          <w:szCs w:val="32"/>
          <w:u w:val="none"/>
        </w:rPr>
        <w:t>师德</w:t>
      </w:r>
      <w:r>
        <w:rPr>
          <w:rStyle w:val="20"/>
          <w:rFonts w:hint="eastAsia" w:ascii="仿宋_GB2312" w:hAnsi="仿宋_GB2312" w:eastAsia="仿宋_GB2312"/>
          <w:b/>
          <w:bCs/>
          <w:color w:val="auto"/>
          <w:sz w:val="32"/>
          <w:szCs w:val="32"/>
          <w:u w:val="none"/>
        </w:rPr>
        <w:t>师风</w:t>
      </w:r>
      <w:r>
        <w:rPr>
          <w:rStyle w:val="20"/>
          <w:rFonts w:ascii="仿宋_GB2312" w:hAnsi="仿宋_GB2312" w:eastAsia="仿宋_GB2312"/>
          <w:b/>
          <w:color w:val="auto"/>
          <w:sz w:val="32"/>
          <w:szCs w:val="32"/>
          <w:u w:val="none"/>
        </w:rPr>
        <w:t>建设长效机制。</w:t>
      </w:r>
      <w:r>
        <w:rPr>
          <w:rStyle w:val="20"/>
          <w:rFonts w:hint="eastAsia" w:ascii="仿宋_GB2312" w:hAnsi="仿宋_GB2312" w:eastAsia="仿宋_GB2312"/>
          <w:color w:val="auto"/>
          <w:sz w:val="32"/>
          <w:szCs w:val="32"/>
          <w:u w:val="none"/>
        </w:rPr>
        <w:t>始终坚持把思想政治工作和师德师风建设摆在教师队伍建设的首位，</w:t>
      </w:r>
      <w:r>
        <w:rPr>
          <w:rStyle w:val="20"/>
          <w:rFonts w:ascii="仿宋_GB2312" w:hAnsi="仿宋_GB2312" w:eastAsia="仿宋_GB2312"/>
          <w:color w:val="auto"/>
          <w:sz w:val="32"/>
          <w:szCs w:val="32"/>
          <w:u w:val="none"/>
        </w:rPr>
        <w:t>深入开展“四有好老师”“四个引路人”“四史”教育，发挥思想领航和道德垂范作用，引导教师树立崇高理想和育人使命。健全防止师德失范的有效机制，加大违规失范行为查处力度，规范教师社会兼职行为，激励教师把主要精力放在教育教学和科学研究上。强化师德考核表彰，积极宣传师德典型，引导教师全面关心学生成长，形成相互激励、教学相长的和谐师生关系。</w:t>
      </w:r>
    </w:p>
    <w:p>
      <w:pPr>
        <w:pStyle w:val="24"/>
        <w:spacing w:after="0" w:line="560" w:lineRule="exact"/>
        <w:ind w:left="0" w:leftChars="0"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（5）完善人才评价和考核激励机制。</w:t>
      </w:r>
      <w:r>
        <w:rPr>
          <w:rStyle w:val="20"/>
          <w:rFonts w:ascii="仿宋_GB2312" w:hAnsi="仿宋_GB2312" w:eastAsia="仿宋_GB2312"/>
          <w:color w:val="auto"/>
          <w:sz w:val="32"/>
          <w:szCs w:val="32"/>
          <w:u w:val="none"/>
        </w:rPr>
        <w:t>以创新质量、创新贡献、创新效率为导向，建立多元人才分类评价体系；加强二级单位学术评价作用，实行学术评价与管理重心下移，推动资源和权责在校院之间的合理配置；强调质量优先，突出绩效导向，提高教育教学在教师考核、评价中的比重，调动教师特别是高水平教师从事教育教学工作的积极性；积极推进“同行评议”“第三方评价”相结合的评价方式；构建多元化的人才使用格局，提高学校人才队伍的整体水平。</w:t>
      </w:r>
    </w:p>
    <w:p>
      <w:pPr>
        <w:pStyle w:val="3"/>
        <w:spacing w:line="560" w:lineRule="exact"/>
        <w:ind w:firstLine="643" w:firstLineChars="200"/>
        <w:rPr>
          <w:rFonts w:ascii="楷体_GB2312" w:hAnsi="楷体_GB2312" w:eastAsia="楷体_GB2312" w:cs="楷体_GB2312"/>
          <w:color w:val="auto"/>
          <w:u w:val="none"/>
        </w:rPr>
      </w:pPr>
      <w:bookmarkStart w:id="274" w:name="_Toc2990"/>
      <w:bookmarkStart w:id="275" w:name="_Toc28380"/>
      <w:bookmarkStart w:id="276" w:name="_Toc21229"/>
      <w:bookmarkStart w:id="277" w:name="_Toc684"/>
      <w:bookmarkStart w:id="278" w:name="_Toc21461"/>
      <w:bookmarkStart w:id="279" w:name="_Toc16149"/>
      <w:bookmarkStart w:id="280" w:name="_Toc4636"/>
      <w:bookmarkStart w:id="281" w:name="_Toc19231"/>
      <w:bookmarkStart w:id="282" w:name="_Toc2447"/>
      <w:bookmarkStart w:id="283" w:name="_Toc499"/>
      <w:bookmarkStart w:id="284" w:name="_Toc32403"/>
      <w:bookmarkStart w:id="285" w:name="_Toc198"/>
      <w:bookmarkStart w:id="286" w:name="_Toc32766"/>
      <w:bookmarkStart w:id="287" w:name="_Toc1568"/>
      <w:bookmarkStart w:id="288" w:name="_Toc9086"/>
      <w:bookmarkStart w:id="289" w:name="_Toc15377"/>
      <w:bookmarkStart w:id="290" w:name="_Toc12761"/>
      <w:bookmarkStart w:id="291" w:name="_Toc2145"/>
      <w:bookmarkStart w:id="292" w:name="_Toc31752"/>
      <w:bookmarkStart w:id="293" w:name="_Toc2164"/>
      <w:bookmarkStart w:id="294" w:name="_Toc14741"/>
      <w:r>
        <w:rPr>
          <w:rFonts w:hint="eastAsia" w:ascii="楷体_GB2312" w:hAnsi="楷体_GB2312" w:eastAsia="楷体_GB2312" w:cs="楷体_GB2312"/>
          <w:color w:val="auto"/>
          <w:u w:val="none"/>
        </w:rPr>
        <w:t>（六）国际教育提质增效工程</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pPr>
        <w:spacing w:line="560" w:lineRule="exact"/>
        <w:ind w:firstLine="643" w:firstLineChars="200"/>
        <w:rPr>
          <w:rStyle w:val="20"/>
          <w:rFonts w:ascii="仿宋_GB2312" w:hAnsi="仿宋_GB2312" w:eastAsia="仿宋_GB2312"/>
          <w:b/>
          <w:color w:val="auto"/>
          <w:sz w:val="32"/>
          <w:szCs w:val="32"/>
          <w:u w:val="none"/>
        </w:rPr>
      </w:pPr>
      <w:r>
        <w:rPr>
          <w:rStyle w:val="20"/>
          <w:rFonts w:ascii="仿宋_GB2312" w:hAnsi="仿宋_GB2312" w:eastAsia="仿宋_GB2312"/>
          <w:b/>
          <w:color w:val="auto"/>
          <w:sz w:val="32"/>
          <w:szCs w:val="32"/>
          <w:u w:val="none"/>
        </w:rPr>
        <w:t>1.建设目标</w:t>
      </w:r>
    </w:p>
    <w:p>
      <w:pPr>
        <w:spacing w:line="560" w:lineRule="exact"/>
        <w:ind w:firstLine="640" w:firstLineChars="200"/>
        <w:rPr>
          <w:rStyle w:val="20"/>
          <w:rFonts w:ascii="仿宋_GB2312" w:hAnsi="仿宋_GB2312" w:eastAsia="仿宋_GB2312"/>
          <w:color w:val="auto"/>
          <w:kern w:val="0"/>
          <w:sz w:val="32"/>
          <w:szCs w:val="32"/>
          <w:u w:val="none"/>
        </w:rPr>
      </w:pPr>
      <w:r>
        <w:rPr>
          <w:rStyle w:val="20"/>
          <w:rFonts w:ascii="仿宋_GB2312" w:hAnsi="仿宋_GB2312" w:eastAsia="仿宋_GB2312"/>
          <w:color w:val="auto"/>
          <w:kern w:val="0"/>
          <w:sz w:val="32"/>
          <w:szCs w:val="32"/>
          <w:u w:val="none"/>
        </w:rPr>
        <w:t>以国家实施“一带一路”倡议为契机，推动国际教育高质量发展</w:t>
      </w:r>
      <w:r>
        <w:rPr>
          <w:rStyle w:val="20"/>
          <w:rFonts w:hint="eastAsia" w:ascii="仿宋_GB2312" w:hAnsi="仿宋_GB2312" w:eastAsia="仿宋_GB2312"/>
          <w:color w:val="auto"/>
          <w:kern w:val="0"/>
          <w:sz w:val="32"/>
          <w:szCs w:val="32"/>
          <w:u w:val="none"/>
        </w:rPr>
        <w:t>，</w:t>
      </w:r>
      <w:r>
        <w:rPr>
          <w:rStyle w:val="20"/>
          <w:rFonts w:ascii="仿宋_GB2312" w:hAnsi="仿宋_GB2312" w:eastAsia="仿宋_GB2312"/>
          <w:color w:val="auto"/>
          <w:kern w:val="0"/>
          <w:sz w:val="32"/>
          <w:szCs w:val="32"/>
          <w:u w:val="none"/>
        </w:rPr>
        <w:t>国际合作与交流在内容、技术、渠道、平台、管理、评价等方面深度融合，实现对外合作交流、国际化人才培养、国际化师资建设、留学生招生与培养方面共享融通，不断提高学校国际合作与交流的层次和水平，提高学校国际声誉。</w:t>
      </w:r>
      <w:r>
        <w:rPr>
          <w:rStyle w:val="20"/>
          <w:rFonts w:ascii="仿宋_GB2312" w:hAnsi="仿宋_GB2312" w:eastAsia="仿宋_GB2312"/>
          <w:color w:val="auto"/>
          <w:sz w:val="32"/>
          <w:szCs w:val="32"/>
          <w:u w:val="none"/>
        </w:rPr>
        <w:t>支持在校生参与国际交流和培养。</w:t>
      </w:r>
    </w:p>
    <w:p>
      <w:pPr>
        <w:spacing w:line="560" w:lineRule="exact"/>
        <w:ind w:firstLine="643" w:firstLineChars="200"/>
        <w:rPr>
          <w:rStyle w:val="20"/>
          <w:rFonts w:ascii="仿宋_GB2312" w:hAnsi="仿宋_GB2312" w:eastAsia="仿宋_GB2312"/>
          <w:b/>
          <w:color w:val="auto"/>
          <w:sz w:val="32"/>
          <w:szCs w:val="32"/>
          <w:u w:val="none"/>
        </w:rPr>
      </w:pPr>
      <w:r>
        <w:rPr>
          <w:rStyle w:val="20"/>
          <w:rFonts w:ascii="仿宋_GB2312" w:hAnsi="仿宋_GB2312" w:eastAsia="仿宋_GB2312"/>
          <w:b/>
          <w:color w:val="auto"/>
          <w:sz w:val="32"/>
          <w:szCs w:val="32"/>
          <w:u w:val="none"/>
        </w:rPr>
        <w:t>2.主要举措</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（1）健全国际化办学体系。</w:t>
      </w:r>
      <w:r>
        <w:rPr>
          <w:rStyle w:val="20"/>
          <w:rFonts w:ascii="仿宋_GB2312" w:hAnsi="仿宋_GB2312" w:eastAsia="仿宋_GB2312"/>
          <w:color w:val="auto"/>
          <w:sz w:val="32"/>
          <w:szCs w:val="32"/>
          <w:u w:val="none"/>
        </w:rPr>
        <w:t>依托联合培养国际班等现有中外教育合作办学项目，建立健全国际化课程体系，完善学分认定转换制度，开展多种形式的国际合作教育。落实“外培计划”，培养具有国际视野和跨文化交流能力的专门人才。加大双语师资队伍建设和外教外专引进力度，推进本科专业双语教学。</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（2）建立“留学北印”品牌。</w:t>
      </w:r>
      <w:r>
        <w:rPr>
          <w:rStyle w:val="20"/>
          <w:rFonts w:ascii="仿宋_GB2312" w:hAnsi="仿宋_GB2312" w:eastAsia="仿宋_GB2312" w:cs="仿宋_GB2312"/>
          <w:bCs/>
          <w:color w:val="auto"/>
          <w:sz w:val="32"/>
          <w:szCs w:val="32"/>
          <w:u w:val="none"/>
        </w:rPr>
        <w:t>凸显北印风格，</w:t>
      </w:r>
      <w:r>
        <w:rPr>
          <w:rStyle w:val="20"/>
          <w:rFonts w:ascii="仿宋_GB2312" w:hAnsi="仿宋_GB2312" w:eastAsia="仿宋_GB2312"/>
          <w:color w:val="auto"/>
          <w:sz w:val="32"/>
          <w:szCs w:val="32"/>
          <w:u w:val="none"/>
        </w:rPr>
        <w:t>开展有特色、高质量留学生教育。切实提高对外汉语教学水平，组织编写具有北印特色教材。继续扩大“一带一路”沿线国家和地区招生规模。发挥学科专业优势，配合行业企业“走出去”，为留学生提供多种专业实习实践机会；进一步完善留学生管理机制，建立绩效奖励体系，完善国际化办学经费保障体系，做优做强各类奖学金申报工作。</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（3）打造国际交流平台。</w:t>
      </w:r>
      <w:r>
        <w:rPr>
          <w:rStyle w:val="20"/>
          <w:rFonts w:ascii="仿宋_GB2312" w:hAnsi="仿宋_GB2312" w:eastAsia="仿宋_GB2312"/>
          <w:color w:val="auto"/>
          <w:sz w:val="32"/>
          <w:szCs w:val="32"/>
          <w:u w:val="none"/>
        </w:rPr>
        <w:t>成立“一带一路”沿线国家和地区印刷传媒类高校联盟，建立资源共享、科研合作的有特色高水平国际资源平台。完善教师境外培训计划，鼓励和支持教师国（境）外进修培训。引进国际教育工作管理软件，形成规范的国际化评测和考核体系。健全国际化管理队伍建设，提升国际服务能力，主动承办、协办国家、北京市标志性国际会议和社会活动，全面提升学校国际化形象。</w:t>
      </w:r>
    </w:p>
    <w:p>
      <w:pPr>
        <w:pStyle w:val="3"/>
        <w:spacing w:line="560" w:lineRule="exact"/>
        <w:ind w:firstLine="643" w:firstLineChars="200"/>
        <w:rPr>
          <w:rFonts w:ascii="楷体_GB2312" w:hAnsi="楷体_GB2312" w:eastAsia="楷体_GB2312" w:cs="楷体_GB2312"/>
          <w:color w:val="auto"/>
          <w:u w:val="none"/>
        </w:rPr>
      </w:pPr>
      <w:bookmarkStart w:id="295" w:name="_Toc17739"/>
      <w:bookmarkStart w:id="296" w:name="_Toc21350"/>
      <w:bookmarkStart w:id="297" w:name="_Toc15358"/>
      <w:bookmarkStart w:id="298" w:name="_Toc32265"/>
      <w:bookmarkStart w:id="299" w:name="_Toc9094"/>
      <w:bookmarkStart w:id="300" w:name="_Toc28999"/>
      <w:bookmarkStart w:id="301" w:name="_Toc23917"/>
      <w:bookmarkStart w:id="302" w:name="_Toc11378"/>
      <w:bookmarkStart w:id="303" w:name="_Toc14573"/>
      <w:bookmarkStart w:id="304" w:name="_Toc28116"/>
      <w:bookmarkStart w:id="305" w:name="_Toc7001"/>
      <w:bookmarkStart w:id="306" w:name="_Toc20195"/>
      <w:bookmarkStart w:id="307" w:name="_Toc3471"/>
      <w:bookmarkStart w:id="308" w:name="_Toc9454"/>
      <w:bookmarkStart w:id="309" w:name="_Toc20928"/>
      <w:bookmarkStart w:id="310" w:name="_Toc11641"/>
      <w:bookmarkStart w:id="311" w:name="_Toc4000"/>
      <w:bookmarkStart w:id="312" w:name="_Toc7098"/>
      <w:bookmarkStart w:id="313" w:name="_Toc27487"/>
      <w:bookmarkStart w:id="314" w:name="_Toc27128"/>
      <w:bookmarkStart w:id="315" w:name="_Toc25171"/>
      <w:r>
        <w:rPr>
          <w:rFonts w:hint="eastAsia" w:ascii="楷体_GB2312" w:hAnsi="楷体_GB2312" w:eastAsia="楷体_GB2312" w:cs="楷体_GB2312"/>
          <w:color w:val="auto"/>
          <w:u w:val="none"/>
        </w:rPr>
        <w:t>（七）文化传承创新工程</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pPr>
        <w:spacing w:line="560" w:lineRule="exact"/>
        <w:ind w:firstLine="643" w:firstLineChars="200"/>
        <w:rPr>
          <w:rStyle w:val="20"/>
          <w:rFonts w:ascii="仿宋_GB2312" w:hAnsi="仿宋_GB2312" w:eastAsia="仿宋_GB2312"/>
          <w:b/>
          <w:color w:val="auto"/>
          <w:sz w:val="32"/>
          <w:szCs w:val="32"/>
          <w:u w:val="none"/>
        </w:rPr>
      </w:pPr>
      <w:r>
        <w:rPr>
          <w:rStyle w:val="20"/>
          <w:rFonts w:hint="eastAsia" w:ascii="仿宋_GB2312" w:hAnsi="仿宋_GB2312" w:eastAsia="仿宋_GB2312"/>
          <w:b/>
          <w:color w:val="auto"/>
          <w:sz w:val="32"/>
          <w:szCs w:val="32"/>
          <w:u w:val="none"/>
        </w:rPr>
        <w:t>1.建设目标</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坚持“传承印刷文明，创新</w:t>
      </w:r>
      <w:r>
        <w:rPr>
          <w:rStyle w:val="20"/>
          <w:rFonts w:hint="eastAsia" w:ascii="仿宋_GB2312" w:hAnsi="仿宋_GB2312" w:eastAsia="仿宋_GB2312" w:cs="Times New Roman"/>
          <w:color w:val="auto"/>
          <w:sz w:val="32"/>
          <w:szCs w:val="32"/>
          <w:u w:val="none"/>
          <w:lang w:eastAsia="zh-CN"/>
        </w:rPr>
        <w:t>出版</w:t>
      </w:r>
      <w:r>
        <w:rPr>
          <w:rStyle w:val="20"/>
          <w:rFonts w:ascii="仿宋_GB2312" w:hAnsi="仿宋_GB2312" w:eastAsia="仿宋_GB2312"/>
          <w:color w:val="auto"/>
          <w:sz w:val="32"/>
          <w:szCs w:val="32"/>
          <w:u w:val="none"/>
        </w:rPr>
        <w:t>文化”使命，构建北印精神文化体系，培育高品味的大学文化；加强中华印刷文明、优秀出版文化研究，构建协同传承传播出版传媒文化的重要学术研究基地。</w:t>
      </w:r>
      <w:r>
        <w:rPr>
          <w:rStyle w:val="20"/>
          <w:rFonts w:hint="eastAsia" w:ascii="仿宋_GB2312" w:hAnsi="仿宋_GB2312" w:eastAsia="仿宋_GB2312" w:cs="Times New Roman"/>
          <w:color w:val="auto"/>
          <w:sz w:val="32"/>
          <w:szCs w:val="32"/>
          <w:u w:val="none"/>
        </w:rPr>
        <w:t>结合</w:t>
      </w:r>
      <w:r>
        <w:rPr>
          <w:rStyle w:val="20"/>
          <w:rFonts w:hint="eastAsia" w:ascii="仿宋_GB2312" w:hAnsi="仿宋_GB2312" w:eastAsia="仿宋_GB2312" w:cs="Times New Roman"/>
          <w:color w:val="auto"/>
          <w:sz w:val="32"/>
          <w:szCs w:val="32"/>
          <w:u w:val="none"/>
          <w:lang w:eastAsia="zh-CN"/>
        </w:rPr>
        <w:t>“书香北京”，</w:t>
      </w:r>
      <w:r>
        <w:rPr>
          <w:rStyle w:val="20"/>
          <w:rFonts w:hint="eastAsia" w:ascii="仿宋_GB2312" w:hAnsi="仿宋_GB2312" w:eastAsia="仿宋_GB2312"/>
          <w:color w:val="auto"/>
          <w:sz w:val="32"/>
          <w:szCs w:val="32"/>
          <w:u w:val="none"/>
          <w:lang w:eastAsia="zh-CN"/>
        </w:rPr>
        <w:t>加</w:t>
      </w:r>
      <w:r>
        <w:rPr>
          <w:rStyle w:val="20"/>
          <w:rFonts w:hint="eastAsia" w:ascii="仿宋_GB2312" w:hAnsi="仿宋_GB2312" w:eastAsia="仿宋_GB2312" w:cs="Times New Roman"/>
          <w:color w:val="auto"/>
          <w:sz w:val="32"/>
          <w:szCs w:val="32"/>
          <w:u w:val="none"/>
          <w:lang w:eastAsia="zh-CN"/>
        </w:rPr>
        <w:t>强</w:t>
      </w:r>
      <w:r>
        <w:rPr>
          <w:rStyle w:val="20"/>
          <w:rFonts w:hint="eastAsia" w:ascii="仿宋_GB2312" w:hAnsi="仿宋_GB2312" w:eastAsia="仿宋_GB2312" w:cs="Times New Roman"/>
          <w:color w:val="auto"/>
          <w:sz w:val="32"/>
          <w:szCs w:val="32"/>
          <w:u w:val="none"/>
        </w:rPr>
        <w:t>校园阅读，</w:t>
      </w:r>
      <w:r>
        <w:rPr>
          <w:rStyle w:val="20"/>
          <w:rFonts w:hint="eastAsia" w:ascii="仿宋_GB2312" w:hAnsi="仿宋_GB2312" w:eastAsia="仿宋_GB2312" w:cs="Times New Roman"/>
          <w:color w:val="auto"/>
          <w:sz w:val="32"/>
          <w:szCs w:val="32"/>
          <w:u w:val="none"/>
          <w:lang w:eastAsia="zh-CN"/>
        </w:rPr>
        <w:t>做好</w:t>
      </w:r>
      <w:r>
        <w:rPr>
          <w:rStyle w:val="20"/>
          <w:rFonts w:hint="eastAsia" w:ascii="仿宋_GB2312" w:hAnsi="仿宋_GB2312" w:eastAsia="仿宋_GB2312" w:cs="Times New Roman"/>
          <w:color w:val="auto"/>
          <w:sz w:val="32"/>
          <w:szCs w:val="32"/>
          <w:u w:val="none"/>
        </w:rPr>
        <w:t>文化传承创新</w:t>
      </w:r>
      <w:r>
        <w:rPr>
          <w:rStyle w:val="20"/>
          <w:rFonts w:hint="eastAsia" w:ascii="仿宋_GB2312" w:hAnsi="仿宋_GB2312" w:eastAsia="仿宋_GB2312" w:cs="Times New Roman"/>
          <w:color w:val="auto"/>
          <w:sz w:val="32"/>
          <w:szCs w:val="32"/>
          <w:u w:val="none"/>
          <w:lang w:eastAsia="zh-CN"/>
        </w:rPr>
        <w:t>，</w:t>
      </w:r>
      <w:r>
        <w:rPr>
          <w:rStyle w:val="20"/>
          <w:rFonts w:ascii="仿宋_GB2312" w:hAnsi="仿宋_GB2312" w:eastAsia="仿宋_GB2312"/>
          <w:color w:val="auto"/>
          <w:sz w:val="32"/>
          <w:szCs w:val="32"/>
          <w:u w:val="none"/>
        </w:rPr>
        <w:t>加大对学生家国情怀、综合素质人文素养的熏陶，促进中外文化交流互鉴，助推</w:t>
      </w:r>
      <w:r>
        <w:rPr>
          <w:rStyle w:val="20"/>
          <w:rFonts w:hint="eastAsia" w:ascii="仿宋_GB2312" w:hAnsi="仿宋_GB2312" w:eastAsia="仿宋_GB2312"/>
          <w:color w:val="auto"/>
          <w:sz w:val="32"/>
          <w:szCs w:val="32"/>
          <w:u w:val="none"/>
        </w:rPr>
        <w:t>北京</w:t>
      </w:r>
      <w:r>
        <w:rPr>
          <w:rStyle w:val="20"/>
          <w:rFonts w:ascii="仿宋_GB2312" w:hAnsi="仿宋_GB2312" w:eastAsia="仿宋_GB2312"/>
          <w:color w:val="auto"/>
          <w:sz w:val="32"/>
          <w:szCs w:val="32"/>
          <w:u w:val="none"/>
        </w:rPr>
        <w:t>文化中心建设和中华文化走出去。</w:t>
      </w:r>
    </w:p>
    <w:p>
      <w:pPr>
        <w:spacing w:line="560" w:lineRule="exact"/>
        <w:ind w:firstLine="643" w:firstLineChars="200"/>
        <w:rPr>
          <w:rStyle w:val="20"/>
          <w:rFonts w:ascii="仿宋_GB2312" w:hAnsi="仿宋_GB2312" w:eastAsia="仿宋_GB2312"/>
          <w:b/>
          <w:color w:val="auto"/>
          <w:sz w:val="32"/>
          <w:szCs w:val="32"/>
          <w:u w:val="none"/>
        </w:rPr>
      </w:pPr>
      <w:r>
        <w:rPr>
          <w:rStyle w:val="20"/>
          <w:rFonts w:ascii="仿宋_GB2312" w:hAnsi="仿宋_GB2312" w:eastAsia="仿宋_GB2312"/>
          <w:b/>
          <w:color w:val="auto"/>
          <w:sz w:val="32"/>
          <w:szCs w:val="32"/>
          <w:u w:val="none"/>
        </w:rPr>
        <w:t>2.主要举措</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（1）深入挖掘学校历史积淀。</w:t>
      </w:r>
      <w:r>
        <w:rPr>
          <w:rStyle w:val="20"/>
          <w:rFonts w:ascii="仿宋_GB2312" w:hAnsi="仿宋_GB2312" w:eastAsia="仿宋_GB2312"/>
          <w:color w:val="auto"/>
          <w:sz w:val="32"/>
          <w:szCs w:val="32"/>
          <w:u w:val="none"/>
        </w:rPr>
        <w:t>深度挖掘北印文化和精神内涵，凝练“北印精神”，宣传“守正出新，笃志敏行”的校训，传唱校歌，讲述校史，构建北印精神文化体系，推进高标准的档案馆、校史馆和美术馆的建设和完善，推出北印元素文创产品，</w:t>
      </w:r>
      <w:r>
        <w:rPr>
          <w:rStyle w:val="20"/>
          <w:rFonts w:ascii="仿宋_GB2312" w:hAnsi="仿宋_GB2312" w:eastAsia="仿宋_GB2312" w:cs="Times New Roman"/>
          <w:color w:val="auto"/>
          <w:sz w:val="32"/>
          <w:szCs w:val="32"/>
          <w:u w:val="none"/>
        </w:rPr>
        <w:t>在传承文化、提升师</w:t>
      </w:r>
      <w:r>
        <w:rPr>
          <w:rStyle w:val="20"/>
          <w:rFonts w:ascii="仿宋_GB2312" w:hAnsi="仿宋_GB2312" w:eastAsia="仿宋_GB2312"/>
          <w:color w:val="auto"/>
          <w:sz w:val="32"/>
          <w:szCs w:val="32"/>
          <w:u w:val="none"/>
        </w:rPr>
        <w:t>生人文素质方面发挥作用。整体设计校园环境与景观，打造若干与校园环境相融合、体现学校传统、彰显学校精神与办学理念的人文景观。</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（2）积极推进大学文化建设。</w:t>
      </w:r>
      <w:r>
        <w:rPr>
          <w:rStyle w:val="20"/>
          <w:rFonts w:ascii="仿宋_GB2312" w:hAnsi="仿宋_GB2312" w:eastAsia="仿宋_GB2312"/>
          <w:color w:val="auto"/>
          <w:sz w:val="32"/>
          <w:szCs w:val="32"/>
          <w:u w:val="none"/>
        </w:rPr>
        <w:t>加强校园软硬件条件和文化建设，优化育人环境，培育北印特色文化活动品牌。宣传师德楷模和青春榜样，加强学生日常教育和引导，做好朋辈引领。加强校区人文环境和文化标识建设，以毕昇、王选等为原型创作专题艺术精品，繁荣弘扬学术文化。夯实强化网络文化，传播推进国际文化，开展校园文化系列活动，营造文化育人浓厚氛围。</w:t>
      </w:r>
    </w:p>
    <w:p>
      <w:pPr>
        <w:spacing w:line="560" w:lineRule="exact"/>
        <w:ind w:firstLine="643" w:firstLineChars="200"/>
        <w:rPr>
          <w:rStyle w:val="20"/>
          <w:rFonts w:ascii="仿宋_GB2312" w:hAnsi="仿宋_GB2312" w:eastAsia="仿宋_GB2312"/>
          <w:color w:val="auto"/>
          <w:sz w:val="32"/>
          <w:szCs w:val="32"/>
          <w:u w:val="none"/>
        </w:rPr>
      </w:pPr>
      <w:r>
        <w:rPr>
          <w:rStyle w:val="20"/>
          <w:rFonts w:ascii="仿宋_GB2312" w:hAnsi="仿宋_GB2312" w:eastAsia="仿宋_GB2312"/>
          <w:b/>
          <w:color w:val="auto"/>
          <w:sz w:val="32"/>
          <w:szCs w:val="32"/>
          <w:u w:val="none"/>
        </w:rPr>
        <w:t>（3）优化建设美丽和谐校园。</w:t>
      </w:r>
      <w:r>
        <w:rPr>
          <w:rStyle w:val="20"/>
          <w:rFonts w:ascii="仿宋_GB2312" w:hAnsi="仿宋_GB2312" w:eastAsia="仿宋_GB2312"/>
          <w:color w:val="auto"/>
          <w:sz w:val="32"/>
          <w:szCs w:val="32"/>
          <w:u w:val="none"/>
        </w:rPr>
        <w:t>拓展办学空间，健全基础设施和公共服务体系；优化校区功能布局，加强资源统筹和共享，加强校园书店文化空间建设</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扩大学生多向交流、学习研讨和生活的公共空间；对校园环境、人文景观和基础设施优化设计和改造</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加入印刷、出版等元素，突出北印特色；推进信息化建设和网络强校，强化校园安全体系建设，切实提高师生应对突发安全危机的意识和能力，建设美丽和谐校园。</w:t>
      </w:r>
    </w:p>
    <w:p>
      <w:pPr>
        <w:pStyle w:val="3"/>
        <w:spacing w:line="560" w:lineRule="exact"/>
        <w:ind w:firstLine="643" w:firstLineChars="200"/>
        <w:rPr>
          <w:rFonts w:ascii="楷体_GB2312" w:hAnsi="楷体_GB2312" w:eastAsia="楷体_GB2312" w:cs="楷体_GB2312"/>
          <w:color w:val="auto"/>
          <w:u w:val="none"/>
        </w:rPr>
      </w:pPr>
      <w:bookmarkStart w:id="316" w:name="_Toc19165"/>
      <w:bookmarkStart w:id="317" w:name="_Toc25602"/>
      <w:bookmarkStart w:id="318" w:name="_Toc29109"/>
      <w:bookmarkStart w:id="319" w:name="_Toc2069"/>
      <w:bookmarkStart w:id="320" w:name="_Toc14358"/>
      <w:bookmarkStart w:id="321" w:name="_Toc17396"/>
      <w:bookmarkStart w:id="322" w:name="_Toc5358"/>
      <w:bookmarkStart w:id="323" w:name="_Toc12286"/>
      <w:bookmarkStart w:id="324" w:name="_Toc31621"/>
      <w:r>
        <w:rPr>
          <w:rFonts w:hint="eastAsia" w:ascii="楷体_GB2312" w:hAnsi="楷体_GB2312" w:eastAsia="楷体_GB2312" w:cs="楷体_GB2312"/>
          <w:color w:val="auto"/>
          <w:u w:val="none"/>
        </w:rPr>
        <w:t>（八）党建强基固本工程</w:t>
      </w:r>
      <w:bookmarkEnd w:id="316"/>
      <w:bookmarkEnd w:id="317"/>
      <w:bookmarkEnd w:id="318"/>
      <w:bookmarkEnd w:id="319"/>
      <w:bookmarkEnd w:id="320"/>
      <w:bookmarkEnd w:id="321"/>
      <w:bookmarkEnd w:id="322"/>
      <w:bookmarkEnd w:id="323"/>
      <w:bookmarkEnd w:id="324"/>
    </w:p>
    <w:p>
      <w:pPr>
        <w:spacing w:line="560" w:lineRule="exact"/>
        <w:ind w:firstLine="643" w:firstLineChars="200"/>
        <w:rPr>
          <w:rFonts w:ascii="仿宋_GB2312" w:hAnsi="宋体" w:eastAsia="仿宋_GB2312"/>
          <w:b/>
          <w:color w:val="auto"/>
          <w:sz w:val="32"/>
          <w:szCs w:val="32"/>
          <w:u w:val="none"/>
        </w:rPr>
      </w:pPr>
      <w:r>
        <w:rPr>
          <w:rFonts w:hint="eastAsia" w:ascii="仿宋_GB2312" w:hAnsi="宋体" w:eastAsia="仿宋_GB2312"/>
          <w:b/>
          <w:color w:val="auto"/>
          <w:sz w:val="32"/>
          <w:szCs w:val="32"/>
          <w:u w:val="none"/>
        </w:rPr>
        <w:t>1.建设目标</w:t>
      </w:r>
    </w:p>
    <w:p>
      <w:pPr>
        <w:spacing w:line="560" w:lineRule="exact"/>
        <w:ind w:firstLine="640" w:firstLineChars="200"/>
        <w:rPr>
          <w:rFonts w:ascii="仿宋_GB2312" w:hAnsi="宋体" w:eastAsia="仿宋_GB2312"/>
          <w:color w:val="auto"/>
          <w:sz w:val="32"/>
          <w:szCs w:val="32"/>
          <w:u w:val="none"/>
        </w:rPr>
      </w:pPr>
      <w:r>
        <w:rPr>
          <w:rFonts w:hint="eastAsia" w:ascii="仿宋_GB2312" w:hAnsi="宋体" w:eastAsia="仿宋_GB2312"/>
          <w:color w:val="auto"/>
          <w:sz w:val="32"/>
          <w:szCs w:val="32"/>
          <w:u w:val="none"/>
        </w:rPr>
        <w:t>坚持党建引领，提高政治站位，把政治建设摆在首位，推进基层党的政治建设、思想建设、组织建设、作风建设、纪律建设，并将制度建设贯穿其中。坚持问题导向，突出政治功能，落实党建工作责任制，确保基层党组织全覆盖和党建无死角，推进全面从严治党向基层延伸。</w:t>
      </w:r>
    </w:p>
    <w:p>
      <w:pPr>
        <w:spacing w:line="560" w:lineRule="exact"/>
        <w:ind w:firstLine="643" w:firstLineChars="200"/>
        <w:rPr>
          <w:rFonts w:ascii="仿宋_GB2312" w:hAnsi="宋体" w:eastAsia="仿宋_GB2312"/>
          <w:b/>
          <w:color w:val="auto"/>
          <w:sz w:val="32"/>
          <w:szCs w:val="32"/>
          <w:u w:val="none"/>
        </w:rPr>
      </w:pPr>
      <w:r>
        <w:rPr>
          <w:rFonts w:hint="eastAsia" w:ascii="仿宋_GB2312" w:hAnsi="宋体" w:eastAsia="仿宋_GB2312"/>
          <w:b/>
          <w:color w:val="auto"/>
          <w:sz w:val="32"/>
          <w:szCs w:val="32"/>
          <w:u w:val="none"/>
        </w:rPr>
        <w:t>2.具体任务</w:t>
      </w:r>
    </w:p>
    <w:p>
      <w:pPr>
        <w:spacing w:line="56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（1）健全基层党建工作机制。</w:t>
      </w:r>
      <w:r>
        <w:rPr>
          <w:rFonts w:hint="eastAsia" w:ascii="仿宋_GB2312" w:hAnsi="宋体" w:eastAsia="仿宋_GB2312"/>
          <w:color w:val="auto"/>
          <w:sz w:val="32"/>
          <w:szCs w:val="32"/>
          <w:u w:val="none"/>
        </w:rPr>
        <w:t>以提升组织力为重点，健全学校党委、院系级党组织、基层党支部抓党建的责任体系和工作机制，强化基层党建条件保障，推动基层党建全面进步全面过硬。实施基层党建创新工程，大力培育党建特色品牌，选优配强教工党支部书记。</w:t>
      </w:r>
    </w:p>
    <w:p>
      <w:pPr>
        <w:spacing w:line="56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（2）强化基层党组织功能。</w:t>
      </w:r>
      <w:r>
        <w:rPr>
          <w:rFonts w:hint="eastAsia" w:ascii="仿宋_GB2312" w:hAnsi="宋体" w:eastAsia="仿宋_GB2312"/>
          <w:color w:val="auto"/>
          <w:sz w:val="32"/>
          <w:szCs w:val="32"/>
          <w:u w:val="none"/>
        </w:rPr>
        <w:t>树立党的一切工作到支部的鲜明导向，强化党组织在教学、科研、管理等重大事项中的政治引领，引导教师党支部在干部聘用、晋职晋级、评奖评优工作中把好政治关师德关，完善学生党支部与团支部班委会协同工作和交叉任职机制。</w:t>
      </w:r>
      <w:r>
        <w:rPr>
          <w:rFonts w:ascii="Times New Roman" w:hAnsi="Times New Roman" w:eastAsia="仿宋_GB2312" w:cs="Times New Roman"/>
          <w:color w:val="auto"/>
          <w:sz w:val="32"/>
          <w:szCs w:val="32"/>
          <w:u w:val="none"/>
        </w:rPr>
        <w:t>努力破解基层党组织建设重点难点问题，</w:t>
      </w:r>
      <w:r>
        <w:rPr>
          <w:rFonts w:hint="eastAsia" w:ascii="仿宋_GB2312" w:hAnsi="宋体" w:eastAsia="仿宋_GB2312"/>
          <w:color w:val="auto"/>
          <w:sz w:val="32"/>
          <w:szCs w:val="32"/>
          <w:u w:val="none"/>
        </w:rPr>
        <w:t>发挥基层党组织联系服务师生“最后一公里”的功能作用，</w:t>
      </w:r>
      <w:r>
        <w:rPr>
          <w:rFonts w:ascii="Times New Roman" w:hAnsi="Times New Roman" w:eastAsia="仿宋_GB2312" w:cs="Times New Roman"/>
          <w:color w:val="auto"/>
          <w:sz w:val="32"/>
          <w:szCs w:val="32"/>
          <w:u w:val="none"/>
        </w:rPr>
        <w:t>不断提升基层党组织的政治功能和组织力</w:t>
      </w:r>
      <w:r>
        <w:rPr>
          <w:rFonts w:hint="eastAsia" w:ascii="Times New Roman" w:hAnsi="Times New Roman" w:eastAsia="仿宋_GB2312" w:cs="Times New Roman"/>
          <w:color w:val="auto"/>
          <w:sz w:val="32"/>
          <w:szCs w:val="32"/>
          <w:u w:val="none"/>
        </w:rPr>
        <w:t>，</w:t>
      </w:r>
      <w:r>
        <w:rPr>
          <w:rFonts w:hint="eastAsia" w:ascii="仿宋_GB2312" w:hAnsi="宋体" w:eastAsia="仿宋_GB2312"/>
          <w:color w:val="auto"/>
          <w:sz w:val="32"/>
          <w:szCs w:val="32"/>
          <w:u w:val="none"/>
        </w:rPr>
        <w:t>保证党的路线方针政策落实到最基层。</w:t>
      </w:r>
    </w:p>
    <w:p>
      <w:pPr>
        <w:spacing w:line="560" w:lineRule="exact"/>
        <w:ind w:firstLine="643" w:firstLineChars="200"/>
        <w:rPr>
          <w:rFonts w:ascii="仿宋_GB2312" w:hAnsi="宋体" w:eastAsia="仿宋_GB2312"/>
          <w:color w:val="auto"/>
          <w:sz w:val="32"/>
          <w:szCs w:val="32"/>
          <w:u w:val="none"/>
        </w:rPr>
      </w:pPr>
      <w:r>
        <w:rPr>
          <w:rFonts w:hint="eastAsia" w:ascii="仿宋_GB2312" w:hAnsi="仿宋_GB2312" w:eastAsia="仿宋_GB2312" w:cs="仿宋_GB2312"/>
          <w:b/>
          <w:color w:val="auto"/>
          <w:sz w:val="32"/>
          <w:szCs w:val="32"/>
          <w:u w:val="none"/>
        </w:rPr>
        <w:t>（3）严格党内组织生活制度。</w:t>
      </w:r>
      <w:r>
        <w:rPr>
          <w:rFonts w:ascii="Times New Roman" w:hAnsi="Times New Roman" w:eastAsia="仿宋_GB2312" w:cs="Times New Roman"/>
          <w:bCs/>
          <w:color w:val="auto"/>
          <w:sz w:val="32"/>
          <w:szCs w:val="32"/>
          <w:u w:val="none"/>
        </w:rPr>
        <w:t>扩大党内基层民主，推进党务公开，增强党内政治生活的政治性、时代性、原则性和战斗性。</w:t>
      </w:r>
      <w:r>
        <w:rPr>
          <w:rFonts w:hint="eastAsia" w:ascii="仿宋_GB2312" w:hAnsi="宋体" w:eastAsia="仿宋_GB2312"/>
          <w:color w:val="auto"/>
          <w:sz w:val="32"/>
          <w:szCs w:val="32"/>
          <w:u w:val="none"/>
        </w:rPr>
        <w:t>严格执行“三会一课”制度，执行民主生活会、组织生活会、谈心谈话、民主评议党员和党员领导干部双重组织生活等制度，健全主题党日活动制度，巩固“不忘初心，牢记使命”主题教育成果，推进主题教育常态化制度化。组织员列席学生党支部组织生活会和党员发展会。严把发展党员质量关，做好“推优入党”，重视发展少数民族学生入党。严格监督考核，强化责任落实，切实抓出成效。</w:t>
      </w:r>
    </w:p>
    <w:p>
      <w:pPr>
        <w:spacing w:line="560" w:lineRule="exact"/>
        <w:ind w:firstLine="640" w:firstLineChars="200"/>
        <w:rPr>
          <w:rFonts w:ascii="仿宋_GB2312" w:hAnsi="宋体" w:eastAsia="仿宋_GB2312"/>
          <w:color w:val="auto"/>
          <w:sz w:val="32"/>
          <w:szCs w:val="32"/>
          <w:u w:val="none"/>
        </w:rPr>
      </w:pPr>
    </w:p>
    <w:p>
      <w:pPr>
        <w:rPr>
          <w:rFonts w:ascii="黑体" w:hAnsi="黑体" w:eastAsia="黑体" w:cs="黑体"/>
          <w:b/>
          <w:color w:val="auto"/>
          <w:sz w:val="40"/>
          <w:szCs w:val="40"/>
          <w:u w:val="none"/>
        </w:rPr>
      </w:pPr>
      <w:bookmarkStart w:id="325" w:name="_Toc9275"/>
      <w:bookmarkStart w:id="326" w:name="_Toc23737"/>
      <w:bookmarkStart w:id="327" w:name="_Toc951"/>
      <w:bookmarkStart w:id="328" w:name="_Toc31986"/>
      <w:bookmarkStart w:id="329" w:name="_Toc28465"/>
      <w:bookmarkStart w:id="330" w:name="_Toc22829"/>
      <w:bookmarkStart w:id="331" w:name="_Toc17533"/>
      <w:r>
        <w:rPr>
          <w:rFonts w:hint="eastAsia" w:ascii="黑体" w:hAnsi="黑体" w:eastAsia="黑体" w:cs="黑体"/>
          <w:b/>
          <w:color w:val="auto"/>
          <w:sz w:val="40"/>
          <w:szCs w:val="40"/>
          <w:u w:val="none"/>
        </w:rPr>
        <w:br w:type="page"/>
      </w:r>
    </w:p>
    <w:bookmarkEnd w:id="166"/>
    <w:bookmarkEnd w:id="167"/>
    <w:bookmarkEnd w:id="168"/>
    <w:bookmarkEnd w:id="169"/>
    <w:bookmarkEnd w:id="170"/>
    <w:bookmarkEnd w:id="171"/>
    <w:bookmarkEnd w:id="172"/>
    <w:bookmarkEnd w:id="173"/>
    <w:bookmarkEnd w:id="174"/>
    <w:bookmarkEnd w:id="175"/>
    <w:bookmarkEnd w:id="325"/>
    <w:bookmarkEnd w:id="326"/>
    <w:bookmarkEnd w:id="327"/>
    <w:bookmarkEnd w:id="328"/>
    <w:bookmarkEnd w:id="329"/>
    <w:bookmarkEnd w:id="330"/>
    <w:bookmarkEnd w:id="331"/>
    <w:p>
      <w:pPr>
        <w:pStyle w:val="2"/>
        <w:spacing w:line="560" w:lineRule="exact"/>
        <w:jc w:val="center"/>
        <w:rPr>
          <w:rFonts w:ascii="黑体" w:hAnsi="黑体" w:eastAsia="黑体" w:cs="黑体"/>
          <w:color w:val="auto"/>
          <w:sz w:val="40"/>
          <w:szCs w:val="40"/>
          <w:u w:val="none"/>
        </w:rPr>
      </w:pPr>
      <w:bookmarkStart w:id="332" w:name="_Toc19404"/>
      <w:bookmarkStart w:id="333" w:name="_Toc29267"/>
      <w:bookmarkStart w:id="334" w:name="_Toc24658"/>
      <w:bookmarkStart w:id="335" w:name="_Toc11782"/>
      <w:bookmarkStart w:id="336" w:name="_Toc32688"/>
      <w:bookmarkStart w:id="337" w:name="_Toc15747"/>
      <w:bookmarkStart w:id="338" w:name="_Toc13692"/>
      <w:bookmarkStart w:id="339" w:name="_Toc7317"/>
      <w:bookmarkStart w:id="340" w:name="_Toc28490"/>
      <w:bookmarkStart w:id="341" w:name="_Toc18013"/>
      <w:bookmarkStart w:id="342" w:name="_Toc20668"/>
      <w:bookmarkStart w:id="343" w:name="_Toc17201"/>
      <w:bookmarkStart w:id="344" w:name="_Toc5322"/>
      <w:bookmarkStart w:id="345" w:name="_Toc9715"/>
      <w:bookmarkStart w:id="346" w:name="_Toc17900"/>
      <w:bookmarkStart w:id="347" w:name="_Toc17787"/>
      <w:bookmarkStart w:id="348" w:name="_Toc328"/>
      <w:bookmarkStart w:id="349" w:name="_Toc6885"/>
      <w:bookmarkStart w:id="350" w:name="_Toc4757"/>
      <w:bookmarkStart w:id="351" w:name="_Toc29251"/>
      <w:bookmarkStart w:id="352" w:name="_Toc5197"/>
      <w:bookmarkStart w:id="353" w:name="_Toc6929"/>
      <w:bookmarkStart w:id="354" w:name="_Toc20949"/>
      <w:bookmarkStart w:id="355" w:name="_Toc32618"/>
      <w:r>
        <w:rPr>
          <w:rFonts w:hint="eastAsia" w:ascii="黑体" w:hAnsi="黑体" w:eastAsia="黑体" w:cs="黑体"/>
          <w:color w:val="auto"/>
          <w:sz w:val="40"/>
          <w:szCs w:val="40"/>
          <w:u w:val="none"/>
        </w:rPr>
        <w:t>四、重大行动计划</w:t>
      </w:r>
      <w:bookmarkEnd w:id="332"/>
      <w:bookmarkEnd w:id="333"/>
      <w:bookmarkEnd w:id="334"/>
      <w:bookmarkEnd w:id="335"/>
    </w:p>
    <w:p>
      <w:pPr>
        <w:spacing w:line="560" w:lineRule="exact"/>
        <w:ind w:firstLine="562" w:firstLineChars="200"/>
        <w:rPr>
          <w:rFonts w:ascii="宋体" w:hAnsi="宋体"/>
          <w:b/>
          <w:bCs/>
          <w:color w:val="auto"/>
          <w:u w:val="none"/>
        </w:rPr>
      </w:pPr>
    </w:p>
    <w:p>
      <w:pPr>
        <w:pStyle w:val="3"/>
        <w:spacing w:line="560" w:lineRule="exact"/>
        <w:ind w:firstLine="643" w:firstLineChars="200"/>
        <w:rPr>
          <w:rFonts w:hint="eastAsia" w:ascii="楷体_GB2312" w:hAnsi="楷体_GB2312" w:eastAsia="楷体_GB2312" w:cs="楷体_GB2312"/>
          <w:color w:val="auto"/>
          <w:u w:val="none"/>
        </w:rPr>
      </w:pPr>
      <w:bookmarkStart w:id="356" w:name="_Toc28747"/>
      <w:bookmarkStart w:id="357" w:name="_Toc10132"/>
      <w:bookmarkStart w:id="358" w:name="_Toc30593"/>
      <w:bookmarkStart w:id="359" w:name="_Toc1639"/>
      <w:bookmarkStart w:id="360" w:name="_Toc5647"/>
      <w:bookmarkStart w:id="361" w:name="_Toc18153"/>
      <w:bookmarkStart w:id="362" w:name="_Toc3749"/>
      <w:bookmarkStart w:id="363" w:name="_Toc22648"/>
      <w:bookmarkStart w:id="364" w:name="_Toc7795"/>
      <w:bookmarkStart w:id="365" w:name="_Toc8312"/>
      <w:bookmarkStart w:id="366" w:name="_Toc15677"/>
      <w:bookmarkStart w:id="367" w:name="_Toc5139"/>
      <w:bookmarkStart w:id="368" w:name="_Toc27341"/>
      <w:bookmarkStart w:id="369" w:name="_Toc18830"/>
      <w:bookmarkStart w:id="370" w:name="_Toc8408"/>
      <w:bookmarkStart w:id="371" w:name="_Toc27839"/>
      <w:bookmarkStart w:id="372" w:name="_Toc11425"/>
      <w:bookmarkStart w:id="373" w:name="_Toc13381"/>
      <w:bookmarkStart w:id="374" w:name="_Toc21255"/>
      <w:bookmarkStart w:id="375" w:name="_Toc10331"/>
      <w:bookmarkStart w:id="376" w:name="_Toc30619"/>
      <w:r>
        <w:rPr>
          <w:rFonts w:hint="eastAsia" w:ascii="楷体_GB2312" w:hAnsi="楷体_GB2312" w:eastAsia="楷体_GB2312" w:cs="楷体_GB2312"/>
          <w:color w:val="auto"/>
          <w:u w:val="none"/>
        </w:rPr>
        <w:t>（</w:t>
      </w:r>
      <w:r>
        <w:rPr>
          <w:rFonts w:hint="eastAsia" w:ascii="楷体_GB2312" w:hAnsi="楷体_GB2312" w:eastAsia="楷体_GB2312" w:cs="楷体_GB2312"/>
          <w:color w:val="auto"/>
          <w:u w:val="none"/>
          <w:lang w:eastAsia="zh-CN"/>
        </w:rPr>
        <w:t>一</w:t>
      </w:r>
      <w:r>
        <w:rPr>
          <w:rFonts w:hint="eastAsia" w:ascii="楷体_GB2312" w:hAnsi="楷体_GB2312" w:eastAsia="楷体_GB2312" w:cs="楷体_GB2312"/>
          <w:color w:val="auto"/>
          <w:u w:val="none"/>
        </w:rPr>
        <w:t>）服务出版强国建设行动计划</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pPr>
        <w:pStyle w:val="3"/>
        <w:spacing w:line="560" w:lineRule="exact"/>
        <w:ind w:firstLine="643" w:firstLineChars="200"/>
        <w:rPr>
          <w:rFonts w:hint="eastAsia" w:ascii="楷体_GB2312" w:hAnsi="楷体_GB2312" w:eastAsia="楷体_GB2312" w:cs="楷体_GB2312"/>
          <w:color w:val="auto"/>
          <w:u w:val="none"/>
          <w:lang w:eastAsia="zh-CN"/>
        </w:rPr>
      </w:pPr>
      <w:bookmarkStart w:id="377" w:name="_Toc19501"/>
      <w:r>
        <w:rPr>
          <w:rStyle w:val="20"/>
          <w:rFonts w:hint="eastAsia" w:ascii="楷体" w:hAnsi="楷体" w:eastAsia="楷体" w:cs="楷体"/>
          <w:b/>
          <w:bCs/>
          <w:color w:val="auto"/>
          <w:kern w:val="2"/>
          <w:sz w:val="32"/>
          <w:szCs w:val="32"/>
          <w:u w:val="none"/>
          <w:lang w:val="en-US" w:eastAsia="zh-CN" w:bidi="ar-SA"/>
        </w:rPr>
        <w:t>（责任单位：新闻出版学院，责任人：陈丹，相关单位：经济管理学院、信息工程学院）</w:t>
      </w:r>
      <w:bookmarkEnd w:id="377"/>
    </w:p>
    <w:p>
      <w:pPr>
        <w:spacing w:line="560" w:lineRule="exact"/>
        <w:ind w:firstLine="640"/>
        <w:rPr>
          <w:rFonts w:ascii="仿宋_GB2312" w:hAnsi="仿宋_GB2312" w:eastAsia="仿宋_GB2312" w:cs="仿宋_GB2312"/>
          <w:color w:val="auto"/>
          <w:sz w:val="32"/>
          <w:szCs w:val="32"/>
          <w:u w:val="none"/>
        </w:rPr>
      </w:pPr>
      <w:bookmarkStart w:id="378" w:name="_Toc31596"/>
      <w:bookmarkStart w:id="379" w:name="_Toc5236"/>
      <w:bookmarkStart w:id="380" w:name="_Toc16254"/>
      <w:bookmarkStart w:id="381" w:name="_Toc26572"/>
      <w:bookmarkStart w:id="382" w:name="_Toc30664"/>
      <w:bookmarkStart w:id="383" w:name="_Toc1603"/>
      <w:bookmarkStart w:id="384" w:name="_Toc21345"/>
      <w:bookmarkStart w:id="385" w:name="_Toc23341"/>
      <w:bookmarkStart w:id="386" w:name="_Toc13524"/>
      <w:bookmarkStart w:id="387" w:name="_Toc25222"/>
      <w:bookmarkStart w:id="388" w:name="_Toc562"/>
      <w:bookmarkStart w:id="389" w:name="_Toc8849"/>
      <w:bookmarkStart w:id="390" w:name="_Toc12820"/>
      <w:bookmarkStart w:id="391" w:name="_Toc25365"/>
      <w:bookmarkStart w:id="392" w:name="_Toc29560"/>
      <w:r>
        <w:rPr>
          <w:rFonts w:hint="eastAsia" w:ascii="仿宋_GB2312" w:hAnsi="仿宋_GB2312" w:eastAsia="仿宋_GB2312" w:cs="仿宋_GB2312"/>
          <w:color w:val="auto"/>
          <w:sz w:val="32"/>
          <w:szCs w:val="32"/>
          <w:u w:val="none"/>
        </w:rPr>
        <w:t>紧跟新闻出版业转型升级要求，利用学校在出版领域学科、科研及师资等方面的优势和特色，通过培根铸魂、启智增慧、传承文明、引领思想，将其转化为服务国家重大战略的优势，为出版强国建设提供坚强的基础和保障。</w:t>
      </w:r>
    </w:p>
    <w:p>
      <w:pPr>
        <w:spacing w:line="560" w:lineRule="exact"/>
        <w:ind w:firstLine="643"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lang w:eastAsia="zh-CN"/>
        </w:rPr>
        <w:t>建设出版高端智库。</w:t>
      </w:r>
      <w:r>
        <w:rPr>
          <w:rFonts w:hint="eastAsia" w:ascii="仿宋_GB2312" w:hAnsi="仿宋_GB2312" w:eastAsia="仿宋_GB2312" w:cs="仿宋_GB2312"/>
          <w:b w:val="0"/>
          <w:bCs w:val="0"/>
          <w:color w:val="auto"/>
          <w:sz w:val="32"/>
          <w:szCs w:val="32"/>
          <w:u w:val="none"/>
        </w:rPr>
        <w:t>依托</w:t>
      </w:r>
      <w:r>
        <w:rPr>
          <w:rFonts w:hint="eastAsia" w:ascii="仿宋_GB2312" w:hAnsi="仿宋_GB2312" w:eastAsia="仿宋_GB2312" w:cs="仿宋_GB2312"/>
          <w:color w:val="auto"/>
          <w:sz w:val="32"/>
          <w:szCs w:val="32"/>
          <w:u w:val="none"/>
        </w:rPr>
        <w:t>出版研究院，</w:t>
      </w:r>
      <w:r>
        <w:rPr>
          <w:rStyle w:val="20"/>
          <w:rFonts w:hint="eastAsia" w:ascii="仿宋_GB2312" w:hAnsi="仿宋_GB2312" w:eastAsia="仿宋_GB2312" w:cs="Times New Roman"/>
          <w:color w:val="auto"/>
          <w:sz w:val="32"/>
          <w:szCs w:val="32"/>
          <w:u w:val="none"/>
        </w:rPr>
        <w:t>聚焦</w:t>
      </w:r>
      <w:r>
        <w:rPr>
          <w:rFonts w:hint="eastAsia" w:ascii="仿宋_GB2312" w:hAnsi="仿宋_GB2312" w:eastAsia="仿宋_GB2312" w:cs="仿宋_GB2312"/>
          <w:color w:val="auto"/>
          <w:sz w:val="32"/>
          <w:szCs w:val="32"/>
          <w:u w:val="none"/>
        </w:rPr>
        <w:t>出版业高质量发展，</w:t>
      </w:r>
      <w:r>
        <w:rPr>
          <w:rStyle w:val="20"/>
          <w:rFonts w:hint="eastAsia" w:ascii="仿宋_GB2312" w:hAnsi="仿宋_GB2312" w:eastAsia="仿宋_GB2312" w:cs="Times New Roman"/>
          <w:color w:val="auto"/>
          <w:sz w:val="32"/>
          <w:szCs w:val="32"/>
          <w:u w:val="none"/>
          <w:lang w:eastAsia="zh-CN"/>
        </w:rPr>
        <w:t>围绕产业数字化和数字产业化，出版业新技术应用，</w:t>
      </w:r>
      <w:r>
        <w:rPr>
          <w:rFonts w:hint="eastAsia" w:ascii="仿宋_GB2312" w:hAnsi="仿宋_GB2312" w:eastAsia="仿宋_GB2312" w:cs="仿宋_GB2312"/>
          <w:color w:val="auto"/>
          <w:sz w:val="32"/>
          <w:szCs w:val="32"/>
          <w:u w:val="none"/>
        </w:rPr>
        <w:t>加强与国家新闻出版署、北京市新闻出版局(北京市版权局)以及中国编辑学会、中国版权协会、北京出版集团等单位合作交流，共同建设出版研究院，通过开展出版信息咨询、专业培训、策略研究、评价检测等多种形式的社会服务，把研究院建设成为在出版领域具有一定影响力的信息咨询中心、产品（服务）评价中心、专业人才培训中心和政府高端智库</w:t>
      </w:r>
      <w:r>
        <w:rPr>
          <w:rStyle w:val="20"/>
          <w:rFonts w:hint="eastAsia" w:ascii="仿宋_GB2312" w:hAnsi="仿宋_GB2312" w:eastAsia="仿宋_GB2312" w:cs="Times New Roman"/>
          <w:color w:val="auto"/>
          <w:sz w:val="32"/>
          <w:szCs w:val="32"/>
          <w:u w:val="none"/>
          <w:lang w:eastAsia="zh-CN"/>
        </w:rPr>
        <w:t>，为行业发展提供智力支持。</w:t>
      </w:r>
    </w:p>
    <w:p>
      <w:pPr>
        <w:spacing w:line="560" w:lineRule="exact"/>
        <w:ind w:firstLine="643" w:firstLineChars="20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2.</w:t>
      </w:r>
      <w:r>
        <w:rPr>
          <w:rFonts w:hint="eastAsia" w:ascii="仿宋_GB2312" w:hAnsi="仿宋_GB2312" w:eastAsia="仿宋_GB2312" w:cs="仿宋_GB2312"/>
          <w:b/>
          <w:bCs/>
          <w:color w:val="auto"/>
          <w:sz w:val="32"/>
          <w:szCs w:val="32"/>
          <w:u w:val="none"/>
          <w:lang w:eastAsia="zh-CN"/>
        </w:rPr>
        <w:t>打</w:t>
      </w:r>
      <w:r>
        <w:rPr>
          <w:rFonts w:hint="eastAsia" w:ascii="仿宋_GB2312" w:hAnsi="仿宋_GB2312" w:eastAsia="仿宋_GB2312" w:cs="仿宋_GB2312"/>
          <w:b/>
          <w:bCs/>
          <w:color w:val="auto"/>
          <w:sz w:val="32"/>
          <w:szCs w:val="32"/>
          <w:u w:val="none"/>
        </w:rPr>
        <w:t>造出版“</w:t>
      </w:r>
      <w:r>
        <w:rPr>
          <w:rFonts w:hint="eastAsia" w:ascii="仿宋_GB2312" w:hAnsi="仿宋_GB2312" w:eastAsia="仿宋_GB2312" w:cs="仿宋_GB2312"/>
          <w:b/>
          <w:bCs/>
          <w:color w:val="auto"/>
          <w:sz w:val="32"/>
          <w:szCs w:val="32"/>
          <w:u w:val="none"/>
          <w:lang w:eastAsia="zh-CN"/>
        </w:rPr>
        <w:t>业界名校</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val="0"/>
          <w:bCs w:val="0"/>
          <w:color w:val="auto"/>
          <w:sz w:val="32"/>
          <w:szCs w:val="32"/>
          <w:u w:val="none"/>
        </w:rPr>
        <w:t>依托</w:t>
      </w:r>
      <w:r>
        <w:rPr>
          <w:rFonts w:hint="eastAsia" w:ascii="仿宋_GB2312" w:hAnsi="仿宋_GB2312" w:eastAsia="仿宋_GB2312" w:cs="仿宋_GB2312"/>
          <w:bCs/>
          <w:color w:val="auto"/>
          <w:sz w:val="32"/>
          <w:szCs w:val="32"/>
          <w:u w:val="none"/>
        </w:rPr>
        <w:t>学校在出版学科以及</w:t>
      </w:r>
      <w:r>
        <w:rPr>
          <w:rFonts w:hint="eastAsia" w:ascii="仿宋_GB2312" w:hAnsi="仿宋_GB2312" w:eastAsia="仿宋_GB2312" w:cs="仿宋_GB2312"/>
          <w:color w:val="auto"/>
          <w:sz w:val="32"/>
          <w:szCs w:val="32"/>
          <w:u w:val="none"/>
        </w:rPr>
        <w:t>数字出版、编辑出版学、传播学（国际出版）等专业的优势，聚焦出版业数字化、智能化、国际化发展趋势，培养具有深厚人文素养、开阔国际视野，较强融合出版技术实践能力的复合应用型专业人才</w:t>
      </w:r>
      <w:r>
        <w:rPr>
          <w:rFonts w:hint="eastAsia" w:ascii="仿宋_GB2312" w:hAnsi="仿宋_GB2312" w:eastAsia="仿宋_GB2312" w:cs="仿宋_GB2312"/>
          <w:color w:val="auto"/>
          <w:sz w:val="32"/>
          <w:szCs w:val="32"/>
          <w:u w:val="none"/>
          <w:lang w:eastAsia="zh-CN"/>
        </w:rPr>
        <w:t>。</w:t>
      </w:r>
    </w:p>
    <w:p>
      <w:pPr>
        <w:spacing w:line="560" w:lineRule="exact"/>
        <w:ind w:firstLine="643"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3.提升学术研究能力。</w:t>
      </w:r>
      <w:r>
        <w:rPr>
          <w:rFonts w:hint="eastAsia" w:ascii="仿宋_GB2312" w:hAnsi="仿宋_GB2312" w:eastAsia="仿宋_GB2312" w:cs="仿宋_GB2312"/>
          <w:b w:val="0"/>
          <w:bCs w:val="0"/>
          <w:color w:val="auto"/>
          <w:sz w:val="32"/>
          <w:szCs w:val="32"/>
          <w:u w:val="none"/>
        </w:rPr>
        <w:t>依托</w:t>
      </w:r>
      <w:r>
        <w:rPr>
          <w:rFonts w:hint="eastAsia" w:ascii="仿宋_GB2312" w:hAnsi="仿宋_GB2312" w:eastAsia="仿宋_GB2312" w:cs="仿宋_GB2312"/>
          <w:color w:val="auto"/>
          <w:sz w:val="32"/>
          <w:szCs w:val="32"/>
          <w:u w:val="none"/>
        </w:rPr>
        <w:t>北京文化产业与出版传媒研究基地、跨媒体出版重点实验室、中国版权研究中心、北印泰安研究院等平台，</w:t>
      </w:r>
      <w:r>
        <w:rPr>
          <w:rStyle w:val="20"/>
          <w:rFonts w:hint="eastAsia" w:ascii="仿宋_GB2312" w:hAnsi="仿宋_GB2312" w:eastAsia="仿宋_GB2312" w:cs="Times New Roman"/>
          <w:color w:val="auto"/>
          <w:sz w:val="32"/>
          <w:szCs w:val="32"/>
          <w:u w:val="none"/>
        </w:rPr>
        <w:t>聚焦</w:t>
      </w:r>
      <w:r>
        <w:rPr>
          <w:rFonts w:hint="eastAsia" w:ascii="仿宋_GB2312" w:hAnsi="仿宋_GB2312" w:eastAsia="仿宋_GB2312" w:cs="仿宋_GB2312"/>
          <w:color w:val="auto"/>
          <w:sz w:val="32"/>
          <w:szCs w:val="32"/>
          <w:u w:val="none"/>
        </w:rPr>
        <w:t>出版业“十四五”发展规划中重点发展的主题出版、智慧出版等重大工程，加强红色出版研究、出版业数字化和智能化关键技术研发和VR出版物制作等国家及行业标准编制等，组建高水平科研团队，力争在部分领域形成差异化优势，成为出版领域具有较大影响力的学术交流中心和研发中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为出版强国建设提出“北印方案”，做出“北印贡献”。</w:t>
      </w:r>
    </w:p>
    <w:p>
      <w:pPr>
        <w:pStyle w:val="3"/>
        <w:spacing w:line="560" w:lineRule="exact"/>
        <w:ind w:firstLine="643" w:firstLineChars="200"/>
        <w:rPr>
          <w:rFonts w:hint="eastAsia" w:ascii="楷体_GB2312" w:hAnsi="楷体_GB2312" w:eastAsia="楷体_GB2312" w:cs="楷体_GB2312"/>
          <w:color w:val="auto"/>
          <w:u w:val="none"/>
        </w:rPr>
      </w:pPr>
      <w:bookmarkStart w:id="393" w:name="_Toc14004"/>
      <w:bookmarkStart w:id="394" w:name="_Toc11696"/>
      <w:bookmarkStart w:id="395" w:name="_Toc29197"/>
      <w:bookmarkStart w:id="396" w:name="_Toc24746"/>
      <w:r>
        <w:rPr>
          <w:rFonts w:hint="eastAsia" w:ascii="楷体_GB2312" w:hAnsi="楷体_GB2312" w:eastAsia="楷体_GB2312" w:cs="楷体_GB2312"/>
          <w:color w:val="auto"/>
          <w:u w:val="none"/>
        </w:rPr>
        <w:t>（</w:t>
      </w:r>
      <w:r>
        <w:rPr>
          <w:rFonts w:hint="eastAsia" w:ascii="楷体_GB2312" w:hAnsi="楷体_GB2312" w:eastAsia="楷体_GB2312" w:cs="楷体_GB2312"/>
          <w:color w:val="auto"/>
          <w:u w:val="none"/>
          <w:lang w:eastAsia="zh-CN"/>
        </w:rPr>
        <w:t>二</w:t>
      </w:r>
      <w:r>
        <w:rPr>
          <w:rFonts w:hint="eastAsia" w:ascii="楷体_GB2312" w:hAnsi="楷体_GB2312" w:eastAsia="楷体_GB2312" w:cs="楷体_GB2312"/>
          <w:color w:val="auto"/>
          <w:u w:val="none"/>
        </w:rPr>
        <w:t>）服务印刷强国建设行动计划</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Start w:id="397" w:name="_Toc11404"/>
      <w:bookmarkStart w:id="398" w:name="_Toc12923"/>
      <w:bookmarkStart w:id="399" w:name="_Toc20429"/>
      <w:bookmarkStart w:id="400" w:name="_Toc6994"/>
      <w:bookmarkStart w:id="401" w:name="_Toc8984"/>
      <w:bookmarkStart w:id="402" w:name="_Toc7023"/>
      <w:bookmarkStart w:id="403" w:name="_Toc13599"/>
      <w:bookmarkStart w:id="404" w:name="_Toc3518"/>
      <w:bookmarkStart w:id="405" w:name="_Toc13877"/>
      <w:bookmarkStart w:id="406" w:name="_Toc17805"/>
      <w:bookmarkStart w:id="407" w:name="_Toc30586"/>
      <w:bookmarkStart w:id="408" w:name="_Toc17843"/>
      <w:bookmarkStart w:id="409" w:name="_Toc12791"/>
      <w:bookmarkStart w:id="410" w:name="_Toc20626"/>
      <w:bookmarkStart w:id="411" w:name="_Toc28567"/>
    </w:p>
    <w:p>
      <w:pPr>
        <w:pStyle w:val="3"/>
        <w:spacing w:line="560" w:lineRule="exact"/>
        <w:ind w:firstLine="643" w:firstLineChars="200"/>
        <w:jc w:val="left"/>
        <w:rPr>
          <w:rStyle w:val="20"/>
          <w:rFonts w:hint="eastAsia" w:ascii="楷体" w:hAnsi="楷体" w:eastAsia="楷体" w:cs="楷体"/>
          <w:b/>
          <w:bCs/>
          <w:color w:val="auto"/>
          <w:kern w:val="2"/>
          <w:sz w:val="32"/>
          <w:szCs w:val="32"/>
          <w:u w:val="none"/>
          <w:lang w:val="en-US" w:eastAsia="zh-CN" w:bidi="ar-SA"/>
        </w:rPr>
      </w:pPr>
      <w:bookmarkStart w:id="412" w:name="_Toc31958"/>
      <w:r>
        <w:rPr>
          <w:rStyle w:val="20"/>
          <w:rFonts w:hint="eastAsia" w:ascii="楷体" w:hAnsi="楷体" w:eastAsia="楷体" w:cs="楷体"/>
          <w:b/>
          <w:bCs/>
          <w:color w:val="auto"/>
          <w:kern w:val="2"/>
          <w:sz w:val="32"/>
          <w:szCs w:val="32"/>
          <w:u w:val="none"/>
          <w:lang w:val="en-US" w:eastAsia="zh-CN" w:bidi="ar-SA"/>
        </w:rPr>
        <w:t>（责任单位：印刷与包装工程学院，责任人：齐元胜，相关单位：机电工程学院、信息工程学院）</w:t>
      </w:r>
      <w:bookmarkEnd w:id="412"/>
    </w:p>
    <w:p>
      <w:pPr>
        <w:spacing w:line="560" w:lineRule="exact"/>
        <w:ind w:firstLine="640" w:firstLineChars="200"/>
        <w:rPr>
          <w:rStyle w:val="20"/>
          <w:rFonts w:ascii="仿宋_GB2312" w:hAnsi="仿宋_GB2312" w:eastAsia="仿宋_GB2312" w:cs="Times New Roman"/>
          <w:color w:val="auto"/>
          <w:sz w:val="32"/>
          <w:szCs w:val="32"/>
          <w:u w:val="none"/>
        </w:rPr>
      </w:pPr>
      <w:r>
        <w:rPr>
          <w:rStyle w:val="20"/>
          <w:rFonts w:hint="eastAsia" w:ascii="仿宋_GB2312" w:hAnsi="仿宋_GB2312" w:eastAsia="仿宋_GB2312" w:cs="Times New Roman"/>
          <w:color w:val="auto"/>
          <w:sz w:val="32"/>
          <w:szCs w:val="32"/>
          <w:u w:val="none"/>
        </w:rPr>
        <w:t>围绕国家建成印刷强国目标，依托学校轻工技术与工程、材料科学与工程、机械工程、信息工程等一级学科及相关专业，组建跨学科科研团队，打造平台，开展校企深度合作，攻克制约我国印刷产业发展和转型升级的“卡脖子”难题，推进我国印刷业向绿色化、智能化、数字化、融合化发展，促进我国由印刷大国向印刷强国转变。</w:t>
      </w:r>
      <w:bookmarkStart w:id="413" w:name="_Toc15839"/>
    </w:p>
    <w:p>
      <w:pPr>
        <w:spacing w:line="560" w:lineRule="exact"/>
        <w:ind w:firstLine="643" w:firstLineChars="200"/>
        <w:rPr>
          <w:rStyle w:val="20"/>
          <w:rFonts w:ascii="仿宋_GB2312" w:hAnsi="仿宋_GB2312" w:eastAsia="仿宋_GB2312" w:cs="Times New Roman"/>
          <w:color w:val="auto"/>
          <w:sz w:val="32"/>
          <w:szCs w:val="32"/>
          <w:u w:val="none"/>
        </w:rPr>
      </w:pPr>
      <w:r>
        <w:rPr>
          <w:rStyle w:val="20"/>
          <w:rFonts w:hint="eastAsia" w:ascii="仿宋_GB2312" w:hAnsi="仿宋_GB2312" w:eastAsia="仿宋_GB2312" w:cs="Times New Roman"/>
          <w:b/>
          <w:bCs/>
          <w:color w:val="auto"/>
          <w:sz w:val="32"/>
          <w:szCs w:val="32"/>
          <w:u w:val="none"/>
          <w:lang w:val="en-US" w:eastAsia="zh-CN"/>
        </w:rPr>
        <w:t>1.建设印刷高端智库。</w:t>
      </w:r>
      <w:r>
        <w:rPr>
          <w:rStyle w:val="20"/>
          <w:rFonts w:hint="eastAsia" w:ascii="仿宋_GB2312" w:hAnsi="仿宋_GB2312" w:eastAsia="仿宋_GB2312" w:cs="Times New Roman"/>
          <w:color w:val="auto"/>
          <w:sz w:val="32"/>
          <w:szCs w:val="32"/>
          <w:u w:val="none"/>
        </w:rPr>
        <w:t>加强与中宣部印刷</w:t>
      </w:r>
      <w:r>
        <w:rPr>
          <w:rStyle w:val="20"/>
          <w:rFonts w:hint="eastAsia" w:ascii="仿宋_GB2312" w:hAnsi="仿宋_GB2312" w:eastAsia="仿宋_GB2312" w:cs="Times New Roman"/>
          <w:color w:val="auto"/>
          <w:sz w:val="32"/>
          <w:szCs w:val="32"/>
          <w:u w:val="none"/>
          <w:lang w:eastAsia="zh-CN"/>
        </w:rPr>
        <w:t>发行</w:t>
      </w:r>
      <w:r>
        <w:rPr>
          <w:rStyle w:val="20"/>
          <w:rFonts w:hint="eastAsia" w:ascii="仿宋_GB2312" w:hAnsi="仿宋_GB2312" w:eastAsia="仿宋_GB2312" w:cs="Times New Roman"/>
          <w:color w:val="auto"/>
          <w:sz w:val="32"/>
          <w:szCs w:val="32"/>
          <w:u w:val="none"/>
        </w:rPr>
        <w:t>局、中国印刷技术协会、中国印刷及设备器材工业协会、中国印刷高等教育联盟、全国印刷电子产业技术创新联盟等组织的合作，完善政产学研用育人模式，输送印刷业转型发展急需人才。</w:t>
      </w:r>
      <w:r>
        <w:rPr>
          <w:rStyle w:val="20"/>
          <w:rFonts w:hint="eastAsia" w:ascii="仿宋_GB2312" w:hAnsi="仿宋_GB2312" w:eastAsia="仿宋_GB2312" w:cs="Times New Roman"/>
          <w:color w:val="auto"/>
          <w:sz w:val="32"/>
          <w:szCs w:val="32"/>
          <w:u w:val="none"/>
          <w:lang w:eastAsia="zh-CN"/>
        </w:rPr>
        <w:t>编制行业标准，参与行业发展规划的制定和宣传、贯彻，</w:t>
      </w:r>
      <w:r>
        <w:rPr>
          <w:rStyle w:val="20"/>
          <w:rFonts w:hint="eastAsia" w:ascii="仿宋_GB2312" w:hAnsi="仿宋_GB2312" w:eastAsia="仿宋_GB2312" w:cs="Times New Roman"/>
          <w:color w:val="auto"/>
          <w:sz w:val="32"/>
          <w:szCs w:val="32"/>
          <w:u w:val="none"/>
        </w:rPr>
        <w:t>充分发挥智库作用，为政府决策出谋划策，为印刷企业发展提供技术支持，提升服务印刷业水平。</w:t>
      </w:r>
    </w:p>
    <w:p>
      <w:pPr>
        <w:spacing w:line="560" w:lineRule="exact"/>
        <w:ind w:firstLine="643" w:firstLineChars="200"/>
        <w:rPr>
          <w:rStyle w:val="20"/>
          <w:rFonts w:hint="eastAsia" w:ascii="仿宋_GB2312" w:hAnsi="仿宋_GB2312" w:eastAsia="仿宋_GB2312" w:cs="Times New Roman"/>
          <w:b/>
          <w:bCs/>
          <w:color w:val="auto"/>
          <w:sz w:val="32"/>
          <w:szCs w:val="32"/>
          <w:u w:val="none"/>
          <w:lang w:val="en-US" w:eastAsia="zh-CN"/>
        </w:rPr>
      </w:pPr>
      <w:r>
        <w:rPr>
          <w:rStyle w:val="20"/>
          <w:rFonts w:hint="eastAsia" w:ascii="仿宋_GB2312" w:hAnsi="仿宋_GB2312" w:eastAsia="仿宋_GB2312" w:cs="Times New Roman"/>
          <w:b/>
          <w:bCs/>
          <w:color w:val="auto"/>
          <w:sz w:val="32"/>
          <w:szCs w:val="32"/>
          <w:u w:val="none"/>
          <w:lang w:val="en-US" w:eastAsia="zh-CN"/>
        </w:rPr>
        <w:t>2.推进印刷绿色化智能化融合化进程。</w:t>
      </w:r>
      <w:r>
        <w:rPr>
          <w:rFonts w:hint="eastAsia" w:ascii="仿宋_GB2312" w:hAnsi="仿宋_GB2312" w:eastAsia="仿宋_GB2312" w:cs="仿宋_GB2312"/>
          <w:b w:val="0"/>
          <w:bCs w:val="0"/>
          <w:color w:val="auto"/>
          <w:sz w:val="32"/>
          <w:szCs w:val="32"/>
          <w:u w:val="none"/>
        </w:rPr>
        <w:t>依托</w:t>
      </w:r>
      <w:r>
        <w:rPr>
          <w:rStyle w:val="20"/>
          <w:rFonts w:hint="eastAsia" w:ascii="仿宋_GB2312" w:hAnsi="仿宋_GB2312" w:eastAsia="仿宋_GB2312" w:cs="Times New Roman"/>
          <w:color w:val="auto"/>
          <w:sz w:val="32"/>
          <w:szCs w:val="32"/>
          <w:u w:val="none"/>
        </w:rPr>
        <w:t>印刷包装材料与技术北京市重点实验室、北京市印刷电子工程技术研究中心、北印龙港产业学院，聚焦印刷包装产业绿色环保转型升级，</w:t>
      </w:r>
      <w:r>
        <w:rPr>
          <w:rStyle w:val="20"/>
          <w:rFonts w:hint="eastAsia" w:ascii="仿宋_GB2312" w:hAnsi="仿宋_GB2312" w:eastAsia="仿宋_GB2312" w:cs="Times New Roman"/>
          <w:color w:val="auto"/>
          <w:sz w:val="32"/>
          <w:szCs w:val="32"/>
          <w:u w:val="none"/>
          <w:lang w:eastAsia="zh-CN"/>
        </w:rPr>
        <w:t>围绕新材料和绿色环保新技术需求，</w:t>
      </w:r>
      <w:r>
        <w:rPr>
          <w:rStyle w:val="20"/>
          <w:rFonts w:hint="eastAsia" w:ascii="仿宋_GB2312" w:hAnsi="仿宋_GB2312" w:eastAsia="仿宋_GB2312" w:cs="Times New Roman"/>
          <w:color w:val="auto"/>
          <w:sz w:val="32"/>
          <w:szCs w:val="32"/>
          <w:u w:val="none"/>
        </w:rPr>
        <w:t>组建先进印刷材料及其应用技术、印刷电子技术、功能/智能印刷、新型印刷技术等研究团队，开展环保印刷材料、印刷电子材料及其印刷工艺技术、功能/智能印刷材料及其应用技术、可变数字印刷技术、智能感知技术与智能控制系统等研究</w:t>
      </w:r>
      <w:r>
        <w:rPr>
          <w:rStyle w:val="20"/>
          <w:rFonts w:hint="eastAsia" w:ascii="仿宋_GB2312" w:hAnsi="仿宋_GB2312" w:eastAsia="仿宋_GB2312" w:cs="Times New Roman"/>
          <w:color w:val="auto"/>
          <w:sz w:val="32"/>
          <w:szCs w:val="32"/>
          <w:u w:val="none"/>
          <w:lang w:eastAsia="zh-CN"/>
        </w:rPr>
        <w:t>。</w:t>
      </w:r>
    </w:p>
    <w:p>
      <w:pPr>
        <w:spacing w:line="560" w:lineRule="exact"/>
        <w:ind w:firstLine="643" w:firstLineChars="200"/>
        <w:rPr>
          <w:rStyle w:val="20"/>
          <w:rFonts w:hint="eastAsia" w:ascii="仿宋_GB2312" w:hAnsi="仿宋_GB2312" w:eastAsia="仿宋_GB2312" w:cs="Times New Roman"/>
          <w:color w:val="auto"/>
          <w:sz w:val="32"/>
          <w:szCs w:val="32"/>
          <w:u w:val="none"/>
          <w:lang w:eastAsia="zh-CN"/>
        </w:rPr>
      </w:pPr>
      <w:r>
        <w:rPr>
          <w:rStyle w:val="20"/>
          <w:rFonts w:hint="eastAsia" w:ascii="仿宋_GB2312" w:hAnsi="仿宋_GB2312" w:eastAsia="仿宋_GB2312" w:cs="Times New Roman"/>
          <w:b/>
          <w:bCs/>
          <w:color w:val="auto"/>
          <w:sz w:val="32"/>
          <w:szCs w:val="32"/>
          <w:u w:val="none"/>
          <w:lang w:val="en-US" w:eastAsia="zh-CN"/>
        </w:rPr>
        <w:t>3.提高行业研究成果转化能力</w:t>
      </w:r>
      <w:r>
        <w:rPr>
          <w:rStyle w:val="20"/>
          <w:rFonts w:hint="eastAsia" w:ascii="仿宋_GB2312" w:hAnsi="仿宋_GB2312" w:eastAsia="仿宋_GB2312" w:cs="Times New Roman"/>
          <w:color w:val="auto"/>
          <w:sz w:val="32"/>
          <w:szCs w:val="32"/>
          <w:u w:val="none"/>
          <w:lang w:eastAsia="zh-CN"/>
        </w:rPr>
        <w:t>。</w:t>
      </w:r>
      <w:r>
        <w:rPr>
          <w:rFonts w:hint="eastAsia" w:ascii="仿宋_GB2312" w:hAnsi="仿宋_GB2312" w:eastAsia="仿宋_GB2312" w:cs="仿宋_GB2312"/>
          <w:b w:val="0"/>
          <w:bCs w:val="0"/>
          <w:color w:val="auto"/>
          <w:sz w:val="32"/>
          <w:szCs w:val="32"/>
          <w:u w:val="none"/>
        </w:rPr>
        <w:t>依托</w:t>
      </w:r>
      <w:r>
        <w:rPr>
          <w:rStyle w:val="20"/>
          <w:rFonts w:hint="eastAsia" w:ascii="仿宋_GB2312" w:hAnsi="仿宋_GB2312" w:eastAsia="仿宋_GB2312" w:cs="Times New Roman"/>
          <w:color w:val="auto"/>
          <w:sz w:val="32"/>
          <w:szCs w:val="32"/>
          <w:u w:val="none"/>
        </w:rPr>
        <w:t>数字化印刷装备北京市重点实验室、高等学校北京市工程研究中心，聚焦智能多色高速印刷机设计与制造、多学科集成的绿色印刷工艺、喷墨印刷的喷头等制约行业发展和转型升级的“卡脖子”技术，组建印刷装备及控制技术科研团队，建设智能制造平台（行业智能制造研究中心），打造智能制造验证平台、高端印刷装备和制造工艺分析实验平台，攻关制约我国行业发展的高端印刷装备关键技术，产生国家级成果，促进行业新旧动能转换和行业重大关键技术研究和成果转化，引领行业发展</w:t>
      </w:r>
      <w:bookmarkEnd w:id="413"/>
      <w:r>
        <w:rPr>
          <w:rStyle w:val="20"/>
          <w:rFonts w:hint="eastAsia" w:ascii="仿宋_GB2312" w:hAnsi="仿宋_GB2312" w:eastAsia="仿宋_GB2312" w:cs="Times New Roman"/>
          <w:color w:val="auto"/>
          <w:sz w:val="32"/>
          <w:szCs w:val="32"/>
          <w:u w:val="none"/>
          <w:lang w:eastAsia="zh-CN"/>
        </w:rPr>
        <w:t>。</w:t>
      </w:r>
    </w:p>
    <w:p>
      <w:pPr>
        <w:pStyle w:val="3"/>
        <w:spacing w:line="560" w:lineRule="exact"/>
        <w:ind w:firstLine="643" w:firstLineChars="200"/>
        <w:rPr>
          <w:rFonts w:hint="eastAsia" w:ascii="楷体_GB2312" w:hAnsi="楷体_GB2312" w:eastAsia="楷体_GB2312" w:cs="楷体_GB2312"/>
          <w:color w:val="auto"/>
          <w:u w:val="none"/>
        </w:rPr>
      </w:pPr>
      <w:bookmarkStart w:id="414" w:name="_Toc7186"/>
      <w:bookmarkStart w:id="415" w:name="_Toc11364"/>
      <w:bookmarkStart w:id="416" w:name="_Toc3695"/>
      <w:bookmarkStart w:id="417" w:name="_Toc30863"/>
      <w:bookmarkStart w:id="418" w:name="_Toc31506"/>
      <w:bookmarkStart w:id="419" w:name="_Toc2611"/>
      <w:bookmarkStart w:id="420" w:name="_Toc2083"/>
      <w:bookmarkStart w:id="421" w:name="_Toc14512"/>
      <w:bookmarkStart w:id="422" w:name="_Toc2817"/>
      <w:bookmarkStart w:id="423" w:name="_Toc29475"/>
      <w:bookmarkStart w:id="424" w:name="_Toc22181"/>
      <w:bookmarkStart w:id="425" w:name="_Toc19858"/>
      <w:bookmarkStart w:id="426" w:name="_Toc12024"/>
      <w:bookmarkStart w:id="427" w:name="_Toc18457"/>
      <w:bookmarkStart w:id="428" w:name="_Toc27204"/>
      <w:bookmarkStart w:id="429" w:name="_Toc13297"/>
      <w:bookmarkStart w:id="430" w:name="_Toc13981"/>
      <w:bookmarkStart w:id="431" w:name="_Toc27378"/>
      <w:bookmarkStart w:id="432" w:name="_Toc2275"/>
      <w:bookmarkStart w:id="433" w:name="_Toc16519"/>
      <w:bookmarkStart w:id="434" w:name="_Toc31260"/>
      <w:bookmarkStart w:id="435" w:name="_Toc30701"/>
      <w:bookmarkStart w:id="436" w:name="_Toc1291"/>
      <w:bookmarkStart w:id="437" w:name="_Toc26138"/>
      <w:bookmarkStart w:id="438" w:name="_Toc19445"/>
      <w:bookmarkStart w:id="439" w:name="_Toc15454"/>
      <w:r>
        <w:rPr>
          <w:rFonts w:hint="eastAsia" w:ascii="楷体_GB2312" w:hAnsi="楷体_GB2312" w:eastAsia="楷体_GB2312" w:cs="楷体_GB2312"/>
          <w:color w:val="auto"/>
          <w:u w:val="none"/>
        </w:rPr>
        <w:t>（</w:t>
      </w:r>
      <w:r>
        <w:rPr>
          <w:rFonts w:hint="eastAsia" w:ascii="楷体_GB2312" w:hAnsi="楷体_GB2312" w:eastAsia="楷体_GB2312" w:cs="楷体_GB2312"/>
          <w:color w:val="auto"/>
          <w:u w:val="none"/>
          <w:lang w:eastAsia="zh-CN"/>
        </w:rPr>
        <w:t>三</w:t>
      </w:r>
      <w:r>
        <w:rPr>
          <w:rFonts w:hint="eastAsia" w:ascii="楷体_GB2312" w:hAnsi="楷体_GB2312" w:eastAsia="楷体_GB2312" w:cs="楷体_GB2312"/>
          <w:color w:val="auto"/>
          <w:u w:val="none"/>
        </w:rPr>
        <w:t>）服务文化强国建设行动计划</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3"/>
        <w:spacing w:line="560" w:lineRule="exact"/>
        <w:ind w:firstLine="643" w:firstLineChars="200"/>
        <w:jc w:val="left"/>
        <w:rPr>
          <w:rStyle w:val="20"/>
          <w:rFonts w:hint="eastAsia" w:ascii="楷体" w:hAnsi="楷体" w:eastAsia="楷体" w:cs="楷体"/>
          <w:b/>
          <w:bCs/>
          <w:color w:val="auto"/>
          <w:kern w:val="2"/>
          <w:sz w:val="32"/>
          <w:szCs w:val="32"/>
          <w:u w:val="none"/>
          <w:lang w:val="en-US" w:eastAsia="zh-CN" w:bidi="ar-SA"/>
        </w:rPr>
      </w:pPr>
      <w:bookmarkStart w:id="440" w:name="_Toc16621"/>
      <w:r>
        <w:rPr>
          <w:rStyle w:val="20"/>
          <w:rFonts w:hint="eastAsia" w:ascii="楷体" w:hAnsi="楷体" w:eastAsia="楷体" w:cs="楷体"/>
          <w:b/>
          <w:bCs/>
          <w:color w:val="auto"/>
          <w:kern w:val="2"/>
          <w:sz w:val="32"/>
          <w:szCs w:val="32"/>
          <w:u w:val="none"/>
          <w:lang w:val="en-US" w:eastAsia="zh-CN" w:bidi="ar-SA"/>
        </w:rPr>
        <w:t>（责任单位：经济管理学院，责任人：李治堂，相关单位：新闻出版学院、设计艺术学院、新媒体学院）</w:t>
      </w:r>
      <w:bookmarkEnd w:id="440"/>
    </w:p>
    <w:p>
      <w:pPr>
        <w:spacing w:line="560" w:lineRule="exact"/>
        <w:ind w:firstLine="64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面向2</w:t>
      </w:r>
      <w:r>
        <w:rPr>
          <w:rFonts w:ascii="仿宋_GB2312" w:hAnsi="仿宋_GB2312" w:eastAsia="仿宋_GB2312" w:cs="仿宋_GB2312"/>
          <w:color w:val="auto"/>
          <w:sz w:val="32"/>
          <w:szCs w:val="32"/>
          <w:u w:val="none"/>
        </w:rPr>
        <w:t>035</w:t>
      </w:r>
      <w:r>
        <w:rPr>
          <w:rFonts w:hint="eastAsia" w:ascii="仿宋_GB2312" w:hAnsi="仿宋_GB2312" w:eastAsia="仿宋_GB2312" w:cs="仿宋_GB2312"/>
          <w:color w:val="auto"/>
          <w:sz w:val="32"/>
          <w:szCs w:val="32"/>
          <w:u w:val="none"/>
        </w:rPr>
        <w:t>年建成社会主义文化强国远景目标，聚焦国家文化强国建设和北京文化中心建设重大战略需求，发挥学校在文化产业及相关领域的学科、科研以及人才培养优势，培养高层次复合应用型文化产业专业人才，提高</w:t>
      </w:r>
      <w:r>
        <w:rPr>
          <w:rFonts w:hint="eastAsia" w:ascii="仿宋_GB2312" w:hAnsi="仿宋_GB2312" w:eastAsia="仿宋_GB2312" w:cs="仿宋_GB2312"/>
          <w:color w:val="auto"/>
          <w:sz w:val="32"/>
          <w:szCs w:val="32"/>
          <w:u w:val="none"/>
          <w:lang w:eastAsia="zh-CN"/>
        </w:rPr>
        <w:t>科研</w:t>
      </w:r>
      <w:r>
        <w:rPr>
          <w:rFonts w:hint="eastAsia" w:ascii="仿宋_GB2312" w:hAnsi="仿宋_GB2312" w:eastAsia="仿宋_GB2312" w:cs="仿宋_GB2312"/>
          <w:color w:val="auto"/>
          <w:sz w:val="32"/>
          <w:szCs w:val="32"/>
          <w:u w:val="none"/>
        </w:rPr>
        <w:t>创新能力和社会服务能力，为文化强国建设和北京文化中心建设提供坚强人才与智力支撑。</w:t>
      </w:r>
    </w:p>
    <w:p>
      <w:pPr>
        <w:spacing w:line="560"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1.</w:t>
      </w:r>
      <w:r>
        <w:rPr>
          <w:rFonts w:hint="eastAsia" w:ascii="仿宋_GB2312" w:hAnsi="仿宋_GB2312" w:eastAsia="仿宋_GB2312" w:cs="仿宋_GB2312"/>
          <w:b/>
          <w:bCs/>
          <w:color w:val="auto"/>
          <w:sz w:val="32"/>
          <w:szCs w:val="32"/>
          <w:u w:val="none"/>
        </w:rPr>
        <w:t>建设文化产业发展高端智库</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val="0"/>
          <w:bCs w:val="0"/>
          <w:color w:val="auto"/>
          <w:sz w:val="32"/>
          <w:szCs w:val="32"/>
          <w:u w:val="none"/>
        </w:rPr>
        <w:t>依托</w:t>
      </w:r>
      <w:r>
        <w:rPr>
          <w:rFonts w:hint="eastAsia" w:ascii="仿宋_GB2312" w:hAnsi="仿宋_GB2312" w:eastAsia="仿宋_GB2312" w:cs="仿宋_GB2312"/>
          <w:color w:val="auto"/>
          <w:sz w:val="32"/>
          <w:szCs w:val="32"/>
          <w:u w:val="none"/>
        </w:rPr>
        <w:t>北京文化产业与出版传媒研究基地、北京文化产业发展研究院等平台，通过与中宣部、文化旅游部相关司局等政府职能部门加强合作，与北京市国有文化资产管理中心共建北京文化产业发展研究院，对接国家、北京市重大需求，打造文化产业创新发展研究团队，出版文化产业发展研究报告，提高服务国家文化强国、北京文化中心建设的能力</w:t>
      </w:r>
      <w:r>
        <w:rPr>
          <w:rFonts w:hint="eastAsia" w:ascii="仿宋_GB2312" w:hAnsi="仿宋_GB2312" w:eastAsia="仿宋_GB2312" w:cs="仿宋_GB2312"/>
          <w:color w:val="auto"/>
          <w:sz w:val="32"/>
          <w:szCs w:val="32"/>
          <w:u w:val="none"/>
          <w:lang w:eastAsia="zh-CN"/>
        </w:rPr>
        <w:t>。</w:t>
      </w:r>
    </w:p>
    <w:p>
      <w:pPr>
        <w:spacing w:line="560" w:lineRule="exact"/>
        <w:ind w:firstLine="640"/>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2.</w:t>
      </w:r>
      <w:r>
        <w:rPr>
          <w:rFonts w:hint="eastAsia" w:ascii="仿宋_GB2312" w:hAnsi="仿宋_GB2312" w:eastAsia="仿宋_GB2312" w:cs="仿宋_GB2312"/>
          <w:b/>
          <w:bCs/>
          <w:color w:val="auto"/>
          <w:sz w:val="32"/>
          <w:szCs w:val="32"/>
          <w:u w:val="none"/>
        </w:rPr>
        <w:t>培养文化产业高层次复合应用型人才</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val="0"/>
          <w:bCs w:val="0"/>
          <w:color w:val="auto"/>
          <w:sz w:val="32"/>
          <w:szCs w:val="32"/>
          <w:u w:val="none"/>
        </w:rPr>
        <w:t>依托</w:t>
      </w:r>
      <w:r>
        <w:rPr>
          <w:rFonts w:hint="eastAsia" w:ascii="仿宋_GB2312" w:hAnsi="仿宋_GB2312" w:eastAsia="仿宋_GB2312" w:cs="仿宋_GB2312"/>
          <w:color w:val="auto"/>
          <w:sz w:val="32"/>
          <w:szCs w:val="32"/>
          <w:u w:val="none"/>
        </w:rPr>
        <w:t>学校工、文、艺、管、法、理多学科交叉优势，</w:t>
      </w:r>
      <w:r>
        <w:rPr>
          <w:rFonts w:hint="eastAsia" w:ascii="仿宋_GB2312" w:hAnsi="仿宋_GB2312" w:eastAsia="仿宋_GB2312" w:cs="仿宋_GB2312"/>
          <w:color w:val="auto"/>
          <w:sz w:val="32"/>
          <w:szCs w:val="32"/>
          <w:u w:val="none"/>
          <w:lang w:eastAsia="zh-CN"/>
        </w:rPr>
        <w:t>聚焦</w:t>
      </w:r>
      <w:r>
        <w:rPr>
          <w:rFonts w:hint="eastAsia" w:ascii="仿宋_GB2312" w:hAnsi="仿宋_GB2312" w:eastAsia="仿宋_GB2312" w:cs="仿宋_GB2312"/>
          <w:b w:val="0"/>
          <w:bCs w:val="0"/>
          <w:color w:val="auto"/>
          <w:sz w:val="32"/>
          <w:szCs w:val="32"/>
          <w:u w:val="none"/>
        </w:rPr>
        <w:t>文化产业</w:t>
      </w:r>
      <w:r>
        <w:rPr>
          <w:rFonts w:hint="eastAsia" w:ascii="仿宋_GB2312" w:hAnsi="仿宋_GB2312" w:eastAsia="仿宋_GB2312" w:cs="仿宋_GB2312"/>
          <w:b w:val="0"/>
          <w:bCs w:val="0"/>
          <w:color w:val="auto"/>
          <w:sz w:val="32"/>
          <w:szCs w:val="32"/>
          <w:u w:val="none"/>
          <w:lang w:eastAsia="zh-CN"/>
        </w:rPr>
        <w:t>发展需求，</w:t>
      </w:r>
      <w:r>
        <w:rPr>
          <w:rFonts w:hint="eastAsia" w:ascii="仿宋_GB2312" w:hAnsi="仿宋_GB2312" w:eastAsia="仿宋_GB2312" w:cs="仿宋_GB2312"/>
          <w:b w:val="0"/>
          <w:bCs w:val="0"/>
          <w:color w:val="auto"/>
          <w:sz w:val="32"/>
          <w:szCs w:val="32"/>
          <w:u w:val="none"/>
        </w:rPr>
        <w:t>加强文化产业相关交叉学科建设，提升学科建设层次与水平，创新</w:t>
      </w:r>
      <w:r>
        <w:rPr>
          <w:rFonts w:hint="eastAsia" w:ascii="仿宋_GB2312" w:hAnsi="仿宋_GB2312" w:eastAsia="仿宋_GB2312" w:cs="仿宋_GB2312"/>
          <w:b w:val="0"/>
          <w:bCs w:val="0"/>
          <w:color w:val="auto"/>
          <w:sz w:val="32"/>
          <w:szCs w:val="32"/>
          <w:u w:val="none"/>
          <w:lang w:eastAsia="zh-CN"/>
        </w:rPr>
        <w:t>文化产业</w:t>
      </w:r>
      <w:r>
        <w:rPr>
          <w:rFonts w:hint="eastAsia" w:ascii="仿宋_GB2312" w:hAnsi="仿宋_GB2312" w:eastAsia="仿宋_GB2312" w:cs="仿宋_GB2312"/>
          <w:b w:val="0"/>
          <w:bCs w:val="0"/>
          <w:color w:val="auto"/>
          <w:sz w:val="32"/>
          <w:szCs w:val="32"/>
          <w:u w:val="none"/>
        </w:rPr>
        <w:t>复合应用型人才</w:t>
      </w:r>
      <w:r>
        <w:rPr>
          <w:rFonts w:hint="eastAsia" w:ascii="仿宋_GB2312" w:hAnsi="仿宋_GB2312" w:eastAsia="仿宋_GB2312" w:cs="仿宋_GB2312"/>
          <w:color w:val="auto"/>
          <w:sz w:val="32"/>
          <w:szCs w:val="32"/>
          <w:u w:val="none"/>
        </w:rPr>
        <w:t>培养模式</w:t>
      </w:r>
      <w:r>
        <w:rPr>
          <w:rFonts w:hint="eastAsia" w:ascii="仿宋_GB2312" w:hAnsi="仿宋_GB2312" w:eastAsia="仿宋_GB2312" w:cs="仿宋_GB2312"/>
          <w:color w:val="auto"/>
          <w:sz w:val="32"/>
          <w:szCs w:val="32"/>
          <w:u w:val="none"/>
          <w:lang w:eastAsia="zh-CN"/>
        </w:rPr>
        <w:t>。</w:t>
      </w:r>
    </w:p>
    <w:p>
      <w:pPr>
        <w:spacing w:line="560" w:lineRule="exact"/>
        <w:ind w:firstLine="640"/>
        <w:rPr>
          <w:rFonts w:hint="eastAsia" w:eastAsia="仿宋_GB2312"/>
          <w:color w:val="auto"/>
          <w:u w:val="none"/>
          <w:lang w:eastAsia="zh-CN"/>
        </w:rPr>
      </w:pPr>
      <w:r>
        <w:rPr>
          <w:rFonts w:hint="eastAsia" w:ascii="仿宋_GB2312" w:hAnsi="仿宋_GB2312" w:eastAsia="仿宋_GB2312" w:cs="仿宋_GB2312"/>
          <w:b/>
          <w:bCs/>
          <w:color w:val="auto"/>
          <w:sz w:val="32"/>
          <w:szCs w:val="32"/>
          <w:u w:val="none"/>
          <w:lang w:val="en-US" w:eastAsia="zh-CN"/>
        </w:rPr>
        <w:t>3.</w:t>
      </w:r>
      <w:r>
        <w:rPr>
          <w:rFonts w:hint="eastAsia" w:ascii="仿宋_GB2312" w:hAnsi="仿宋_GB2312" w:eastAsia="仿宋_GB2312" w:cs="仿宋_GB2312"/>
          <w:b/>
          <w:bCs/>
          <w:color w:val="auto"/>
          <w:sz w:val="32"/>
          <w:szCs w:val="32"/>
          <w:u w:val="none"/>
          <w:lang w:eastAsia="zh-CN"/>
        </w:rPr>
        <w:t>提高服务</w:t>
      </w:r>
      <w:r>
        <w:rPr>
          <w:rFonts w:hint="eastAsia" w:ascii="仿宋_GB2312" w:hAnsi="仿宋_GB2312" w:eastAsia="仿宋_GB2312" w:cs="仿宋_GB2312"/>
          <w:b/>
          <w:bCs/>
          <w:color w:val="auto"/>
          <w:sz w:val="32"/>
          <w:szCs w:val="32"/>
          <w:u w:val="none"/>
        </w:rPr>
        <w:t>国家“一带一路”倡议</w:t>
      </w:r>
      <w:r>
        <w:rPr>
          <w:rFonts w:hint="eastAsia" w:ascii="仿宋_GB2312" w:hAnsi="仿宋_GB2312" w:eastAsia="仿宋_GB2312" w:cs="仿宋_GB2312"/>
          <w:b/>
          <w:bCs/>
          <w:color w:val="auto"/>
          <w:sz w:val="32"/>
          <w:szCs w:val="32"/>
          <w:u w:val="none"/>
          <w:lang w:eastAsia="zh-CN"/>
        </w:rPr>
        <w:t>战略的能力。</w:t>
      </w:r>
      <w:r>
        <w:rPr>
          <w:rFonts w:hint="eastAsia" w:ascii="仿宋_GB2312" w:hAnsi="仿宋_GB2312" w:eastAsia="仿宋_GB2312" w:cs="仿宋_GB2312"/>
          <w:b w:val="0"/>
          <w:bCs w:val="0"/>
          <w:color w:val="auto"/>
          <w:sz w:val="32"/>
          <w:szCs w:val="32"/>
          <w:u w:val="none"/>
        </w:rPr>
        <w:t>依托</w:t>
      </w:r>
      <w:r>
        <w:rPr>
          <w:rFonts w:hint="eastAsia" w:ascii="仿宋_GB2312" w:hAnsi="仿宋_GB2312" w:eastAsia="仿宋_GB2312" w:cs="仿宋_GB2312"/>
          <w:color w:val="auto"/>
          <w:sz w:val="32"/>
          <w:szCs w:val="32"/>
          <w:u w:val="none"/>
        </w:rPr>
        <w:t>中国印刷博物馆、中国版本图书馆以及校史馆、美术馆等文化资源，以及北京市首批“一带一路”国家人才培养基地，做好印刷、出版相关文化资源的挖掘、整理、保护、利用，加强“一带一路”国家文化相关专业人才培养与文化交流</w:t>
      </w:r>
      <w:r>
        <w:rPr>
          <w:rFonts w:hint="eastAsia" w:ascii="仿宋_GB2312" w:hAnsi="仿宋_GB2312" w:eastAsia="仿宋_GB2312" w:cs="仿宋_GB2312"/>
          <w:b/>
          <w:bCs/>
          <w:color w:val="auto"/>
          <w:sz w:val="32"/>
          <w:szCs w:val="32"/>
          <w:u w:val="none"/>
        </w:rPr>
        <w:t>，</w:t>
      </w:r>
      <w:r>
        <w:rPr>
          <w:rFonts w:hint="eastAsia" w:ascii="仿宋_GB2312" w:hAnsi="仿宋_GB2312" w:eastAsia="仿宋_GB2312" w:cs="仿宋_GB2312"/>
          <w:color w:val="auto"/>
          <w:sz w:val="32"/>
          <w:szCs w:val="32"/>
          <w:u w:val="none"/>
        </w:rPr>
        <w:t>服务国家“一带一路”倡议和文化“走出去”战略，提升学校国际影响力。</w:t>
      </w:r>
    </w:p>
    <w:p>
      <w:pPr>
        <w:pStyle w:val="3"/>
        <w:spacing w:line="560" w:lineRule="exact"/>
        <w:ind w:firstLine="643" w:firstLineChars="200"/>
        <w:rPr>
          <w:rFonts w:hint="eastAsia" w:ascii="楷体_GB2312" w:hAnsi="楷体_GB2312" w:eastAsia="楷体_GB2312" w:cs="楷体_GB2312"/>
          <w:color w:val="auto"/>
          <w:u w:val="none"/>
        </w:rPr>
      </w:pPr>
      <w:bookmarkStart w:id="441" w:name="_Toc22725"/>
      <w:r>
        <w:rPr>
          <w:rFonts w:hint="eastAsia" w:ascii="楷体_GB2312" w:hAnsi="楷体_GB2312" w:eastAsia="楷体_GB2312" w:cs="楷体_GB2312"/>
          <w:color w:val="auto"/>
          <w:u w:val="none"/>
        </w:rPr>
        <w:t>（四）服务北京文化中心（设计之都）建设行动计划</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35"/>
      <w:bookmarkEnd w:id="436"/>
      <w:bookmarkEnd w:id="437"/>
      <w:bookmarkEnd w:id="438"/>
      <w:bookmarkEnd w:id="439"/>
      <w:bookmarkEnd w:id="441"/>
    </w:p>
    <w:p>
      <w:pPr>
        <w:pStyle w:val="3"/>
        <w:spacing w:line="560" w:lineRule="exact"/>
        <w:ind w:firstLine="643" w:firstLineChars="200"/>
        <w:jc w:val="left"/>
        <w:rPr>
          <w:rStyle w:val="20"/>
          <w:rFonts w:hint="eastAsia" w:ascii="楷体" w:hAnsi="楷体" w:eastAsia="楷体" w:cs="楷体"/>
          <w:b/>
          <w:bCs/>
          <w:color w:val="auto"/>
          <w:kern w:val="2"/>
          <w:sz w:val="32"/>
          <w:szCs w:val="32"/>
          <w:u w:val="none"/>
          <w:lang w:val="en-US" w:eastAsia="zh-CN" w:bidi="ar-SA"/>
        </w:rPr>
      </w:pPr>
      <w:bookmarkStart w:id="442" w:name="_Toc5043"/>
      <w:r>
        <w:rPr>
          <w:rStyle w:val="20"/>
          <w:rFonts w:hint="eastAsia" w:ascii="楷体" w:hAnsi="楷体" w:eastAsia="楷体" w:cs="楷体"/>
          <w:b/>
          <w:bCs/>
          <w:color w:val="auto"/>
          <w:kern w:val="2"/>
          <w:sz w:val="32"/>
          <w:szCs w:val="32"/>
          <w:u w:val="none"/>
          <w:lang w:val="en-US" w:eastAsia="zh-CN" w:bidi="ar-SA"/>
        </w:rPr>
        <w:t>（责任单位：设计艺术学院，责任人：张晓东，相关单位：新媒体学院、新闻出版学院）</w:t>
      </w:r>
      <w:bookmarkEnd w:id="442"/>
    </w:p>
    <w:p>
      <w:pPr>
        <w:spacing w:line="560" w:lineRule="exact"/>
        <w:ind w:firstLine="640"/>
        <w:rPr>
          <w:rStyle w:val="20"/>
          <w:rFonts w:hint="eastAsia" w:ascii="仿宋_GB2312" w:hAnsi="仿宋_GB2312" w:eastAsia="仿宋_GB2312" w:cs="Times New Roman"/>
          <w:color w:val="auto"/>
          <w:sz w:val="32"/>
          <w:szCs w:val="32"/>
          <w:u w:val="none"/>
        </w:rPr>
      </w:pPr>
      <w:r>
        <w:rPr>
          <w:rStyle w:val="20"/>
          <w:rFonts w:hint="eastAsia" w:ascii="仿宋_GB2312" w:hAnsi="仿宋_GB2312" w:eastAsia="仿宋_GB2312" w:cs="Times New Roman"/>
          <w:color w:val="auto"/>
          <w:sz w:val="32"/>
          <w:szCs w:val="32"/>
          <w:u w:val="none"/>
        </w:rPr>
        <w:t>聚焦北京文化中心（设计之都）建设人才培养、项目建设、社会服务、重大设计项目等需求，充分发挥设计学学科特色与优势，不断提升学校在服务北京文化创意创新设计、北京历史文脉传承保护和北京公共文化体系建设等方面的贡献力。</w:t>
      </w:r>
    </w:p>
    <w:p>
      <w:pPr>
        <w:spacing w:line="560" w:lineRule="exact"/>
        <w:ind w:firstLine="640"/>
        <w:rPr>
          <w:rStyle w:val="20"/>
          <w:rFonts w:hint="eastAsia" w:ascii="仿宋_GB2312" w:hAnsi="仿宋_GB2312" w:eastAsia="仿宋_GB2312" w:cs="Times New Roman"/>
          <w:color w:val="auto"/>
          <w:sz w:val="32"/>
          <w:szCs w:val="32"/>
          <w:u w:val="none"/>
          <w:lang w:val="en-US" w:eastAsia="zh-CN"/>
        </w:rPr>
      </w:pPr>
      <w:r>
        <w:rPr>
          <w:rStyle w:val="20"/>
          <w:rFonts w:hint="eastAsia" w:ascii="仿宋_GB2312" w:hAnsi="仿宋_GB2312" w:eastAsia="仿宋_GB2312" w:cs="Times New Roman"/>
          <w:b/>
          <w:bCs/>
          <w:color w:val="auto"/>
          <w:sz w:val="32"/>
          <w:szCs w:val="32"/>
          <w:u w:val="none"/>
          <w:lang w:val="en-US" w:eastAsia="zh-CN"/>
        </w:rPr>
        <w:t>1.建立设计艺术研究新型智库。</w:t>
      </w:r>
      <w:r>
        <w:rPr>
          <w:rStyle w:val="20"/>
          <w:rFonts w:hint="eastAsia" w:ascii="仿宋_GB2312" w:hAnsi="仿宋_GB2312" w:eastAsia="仿宋_GB2312" w:cs="Times New Roman"/>
          <w:color w:val="auto"/>
          <w:sz w:val="32"/>
          <w:szCs w:val="32"/>
          <w:u w:val="none"/>
          <w:lang w:val="en-US" w:eastAsia="zh-CN"/>
        </w:rPr>
        <w:t>依托北京主题创作与设计中心、插画艺术研究中心，以“一城三带”为核心的历史文化名城保护以及具有当代精神标识的红色文化、乡村发展、高质量发展等为重点进行主题性美术创作与设计创作，推出标志性创作精品，建立插图文化艺术智库，充分发挥研究新型智库作用，服务北京历史文脉传承保护。</w:t>
      </w:r>
    </w:p>
    <w:p>
      <w:pPr>
        <w:spacing w:line="560" w:lineRule="exact"/>
        <w:ind w:firstLine="640"/>
        <w:rPr>
          <w:rStyle w:val="20"/>
          <w:rFonts w:hint="eastAsia" w:ascii="仿宋_GB2312" w:hAnsi="仿宋_GB2312" w:eastAsia="仿宋_GB2312" w:cs="Times New Roman"/>
          <w:color w:val="auto"/>
          <w:sz w:val="32"/>
          <w:szCs w:val="32"/>
          <w:u w:val="none"/>
          <w:lang w:val="en-US" w:eastAsia="zh-CN"/>
        </w:rPr>
      </w:pPr>
      <w:r>
        <w:rPr>
          <w:rStyle w:val="20"/>
          <w:rFonts w:hint="eastAsia" w:ascii="仿宋_GB2312" w:hAnsi="仿宋_GB2312" w:eastAsia="仿宋_GB2312" w:cs="Times New Roman"/>
          <w:b/>
          <w:bCs/>
          <w:color w:val="auto"/>
          <w:sz w:val="32"/>
          <w:szCs w:val="32"/>
          <w:u w:val="none"/>
          <w:lang w:val="en-US" w:eastAsia="zh-CN"/>
        </w:rPr>
        <w:t>2.加强动漫衍生品创作。</w:t>
      </w:r>
      <w:r>
        <w:rPr>
          <w:rStyle w:val="20"/>
          <w:rFonts w:hint="eastAsia" w:ascii="仿宋_GB2312" w:hAnsi="仿宋_GB2312" w:eastAsia="仿宋_GB2312" w:cs="Times New Roman"/>
          <w:color w:val="auto"/>
          <w:sz w:val="32"/>
          <w:szCs w:val="32"/>
          <w:u w:val="none"/>
          <w:lang w:val="en-US" w:eastAsia="zh-CN"/>
        </w:rPr>
        <w:t>依托人文与未来设计创新中心、动漫影像及衍生品研发中心，加强视觉文化创新设计、文创产品整合创新设计、印刷艺术与文化遗产保护传承方面的研究，把动画、游戏、漫画、影像等作品进行衍生品设计方面开展探索与研究，并在个性化艺术创作的数字动漫制作新工艺的实践中积累丰富经验。对动漫衍生品创意、设计、生产、销售等环节进行系统研究和资源整合，实现动漫衍生品创作的创新，弘扬中华文化，形成特色和品牌，更好地推动首都数字动画产业的进一步发展。</w:t>
      </w:r>
    </w:p>
    <w:p>
      <w:pPr>
        <w:spacing w:line="560" w:lineRule="exact"/>
        <w:ind w:firstLine="640"/>
        <w:rPr>
          <w:rFonts w:ascii="黑体" w:hAnsi="黑体" w:eastAsia="黑体" w:cs="黑体"/>
          <w:b/>
          <w:color w:val="auto"/>
          <w:sz w:val="40"/>
          <w:szCs w:val="40"/>
          <w:u w:val="none"/>
        </w:rPr>
      </w:pPr>
      <w:r>
        <w:rPr>
          <w:rStyle w:val="20"/>
          <w:rFonts w:hint="eastAsia" w:ascii="仿宋_GB2312" w:hAnsi="仿宋_GB2312" w:eastAsia="仿宋_GB2312" w:cs="Times New Roman"/>
          <w:b/>
          <w:bCs/>
          <w:color w:val="auto"/>
          <w:sz w:val="32"/>
          <w:szCs w:val="32"/>
          <w:u w:val="none"/>
          <w:lang w:val="en-US" w:eastAsia="zh-CN"/>
        </w:rPr>
        <w:t>3.提高服务北京文化创意建设能力。</w:t>
      </w:r>
      <w:r>
        <w:rPr>
          <w:rStyle w:val="20"/>
          <w:rFonts w:hint="eastAsia" w:ascii="仿宋_GB2312" w:hAnsi="仿宋_GB2312" w:eastAsia="仿宋_GB2312" w:cs="Times New Roman"/>
          <w:color w:val="auto"/>
          <w:sz w:val="32"/>
          <w:szCs w:val="32"/>
          <w:u w:val="none"/>
          <w:lang w:val="en-US" w:eastAsia="zh-CN"/>
        </w:rPr>
        <w:t>依托新媒体艺术高精尖创新中心、艺术与科技研究中心，开展数字出版艺术创新研究和数字展演艺术创新研究；整合跨学科优质资源，开展科研教学创新建设；发挥北京2022年冬奥会和冬残奥会开闭幕式创意基地作用，服务冬奥会、冬残奥会保障工作。通过平台建设，提升学科建设水平与高水平人才培养能力，形成多个理论与实践创新团队，形成一批重大标志性成果，全面服务北京文化创意、历史文脉传承保护、公共文化体系建设，与大兴区政府及北京时尚控股等政府、知名企业深度对接，实现政产学研联动向高质量发展。</w:t>
      </w:r>
      <w:r>
        <w:rPr>
          <w:rFonts w:hint="eastAsia" w:ascii="黑体" w:hAnsi="黑体" w:eastAsia="黑体" w:cs="黑体"/>
          <w:b/>
          <w:color w:val="auto"/>
          <w:sz w:val="40"/>
          <w:szCs w:val="40"/>
          <w:u w:val="none"/>
        </w:rPr>
        <w:br w:type="page"/>
      </w:r>
    </w:p>
    <w:p>
      <w:pPr>
        <w:pStyle w:val="2"/>
        <w:spacing w:line="560" w:lineRule="exact"/>
        <w:jc w:val="center"/>
        <w:rPr>
          <w:rFonts w:ascii="黑体" w:hAnsi="黑体" w:eastAsia="黑体" w:cs="黑体"/>
          <w:color w:val="auto"/>
          <w:sz w:val="40"/>
          <w:szCs w:val="40"/>
          <w:u w:val="none"/>
        </w:rPr>
      </w:pPr>
      <w:bookmarkStart w:id="443" w:name="_Toc32571"/>
      <w:r>
        <w:rPr>
          <w:rFonts w:hint="eastAsia" w:ascii="黑体" w:hAnsi="黑体" w:eastAsia="黑体" w:cs="黑体"/>
          <w:color w:val="auto"/>
          <w:sz w:val="40"/>
          <w:szCs w:val="40"/>
          <w:u w:val="none"/>
        </w:rPr>
        <w:t>五、</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Pr>
          <w:rFonts w:hint="eastAsia" w:ascii="黑体" w:hAnsi="黑体" w:eastAsia="黑体" w:cs="黑体"/>
          <w:color w:val="auto"/>
          <w:sz w:val="40"/>
          <w:szCs w:val="40"/>
          <w:u w:val="none"/>
        </w:rPr>
        <w:t>保障措施</w:t>
      </w:r>
      <w:bookmarkEnd w:id="353"/>
      <w:bookmarkEnd w:id="354"/>
      <w:bookmarkEnd w:id="355"/>
      <w:bookmarkEnd w:id="443"/>
    </w:p>
    <w:p>
      <w:pPr>
        <w:spacing w:line="560" w:lineRule="exact"/>
        <w:jc w:val="center"/>
        <w:rPr>
          <w:rStyle w:val="20"/>
          <w:rFonts w:ascii="黑体" w:hAnsi="黑体" w:eastAsia="黑体"/>
          <w:color w:val="auto"/>
          <w:sz w:val="32"/>
          <w:szCs w:val="32"/>
          <w:u w:val="none"/>
        </w:rPr>
      </w:pPr>
    </w:p>
    <w:p>
      <w:pPr>
        <w:pStyle w:val="3"/>
        <w:spacing w:line="560" w:lineRule="exact"/>
        <w:ind w:firstLine="643" w:firstLineChars="200"/>
        <w:rPr>
          <w:rFonts w:ascii="楷体_GB2312" w:hAnsi="楷体_GB2312" w:eastAsia="楷体_GB2312" w:cs="楷体_GB2312"/>
          <w:color w:val="auto"/>
          <w:u w:val="none"/>
        </w:rPr>
      </w:pPr>
      <w:bookmarkStart w:id="444" w:name="_Toc10961"/>
      <w:bookmarkStart w:id="445" w:name="_Toc26897"/>
      <w:bookmarkStart w:id="446" w:name="_Toc15521"/>
      <w:bookmarkStart w:id="447" w:name="_Toc8961"/>
      <w:bookmarkStart w:id="448" w:name="_Toc14770"/>
      <w:bookmarkStart w:id="449" w:name="_Toc1449"/>
      <w:bookmarkStart w:id="450" w:name="_Toc3613"/>
      <w:bookmarkStart w:id="451" w:name="_Toc15164"/>
      <w:bookmarkStart w:id="452" w:name="_Toc29703"/>
      <w:bookmarkStart w:id="453" w:name="_Toc27172"/>
      <w:bookmarkStart w:id="454" w:name="_Toc5773"/>
      <w:bookmarkStart w:id="455" w:name="_Toc12232"/>
      <w:bookmarkStart w:id="456" w:name="_Toc24124"/>
      <w:bookmarkStart w:id="457" w:name="_Toc19604"/>
      <w:bookmarkStart w:id="458" w:name="_Toc30805"/>
      <w:bookmarkStart w:id="459" w:name="_Toc29442"/>
      <w:bookmarkStart w:id="460" w:name="_Toc21524"/>
      <w:bookmarkStart w:id="461" w:name="_Toc28209"/>
      <w:bookmarkStart w:id="462" w:name="_Toc31069"/>
      <w:bookmarkStart w:id="463" w:name="_Toc28292"/>
      <w:bookmarkStart w:id="464" w:name="_Toc19310"/>
      <w:r>
        <w:rPr>
          <w:rFonts w:hint="eastAsia" w:ascii="楷体_GB2312" w:hAnsi="楷体_GB2312" w:eastAsia="楷体_GB2312" w:cs="楷体_GB2312"/>
          <w:color w:val="auto"/>
          <w:u w:val="none"/>
        </w:rPr>
        <w:t>（一）坚持党建引领，强化组织保障</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bookmarkEnd w:id="458"/>
    <w:bookmarkEnd w:id="459"/>
    <w:bookmarkEnd w:id="460"/>
    <w:bookmarkEnd w:id="461"/>
    <w:bookmarkEnd w:id="462"/>
    <w:bookmarkEnd w:id="463"/>
    <w:bookmarkEnd w:id="464"/>
    <w:p>
      <w:pPr>
        <w:spacing w:line="560" w:lineRule="exact"/>
        <w:ind w:firstLine="640"/>
        <w:rPr>
          <w:rStyle w:val="20"/>
          <w:rFonts w:ascii="仿宋_GB2312" w:hAnsi="仿宋_GB2312" w:eastAsia="仿宋_GB2312"/>
          <w:color w:val="auto"/>
          <w:kern w:val="0"/>
          <w:sz w:val="32"/>
          <w:szCs w:val="32"/>
          <w:u w:val="none"/>
        </w:rPr>
      </w:pPr>
      <w:r>
        <w:rPr>
          <w:rStyle w:val="20"/>
          <w:rFonts w:ascii="仿宋_GB2312" w:hAnsi="仿宋_GB2312" w:eastAsia="仿宋_GB2312"/>
          <w:color w:val="auto"/>
          <w:sz w:val="32"/>
          <w:szCs w:val="32"/>
          <w:u w:val="none"/>
        </w:rPr>
        <w:t>坚持党管办学方向、党管改革，党管规划实施，成立学校“十四五”发展规划实施领导小组，按照“整体规划、动态管理、明确责任、检查落实”的原则，</w:t>
      </w:r>
      <w:r>
        <w:rPr>
          <w:rStyle w:val="20"/>
          <w:rFonts w:ascii="仿宋_GB2312" w:hAnsi="仿宋_GB2312" w:eastAsia="仿宋_GB2312"/>
          <w:color w:val="auto"/>
          <w:kern w:val="0"/>
          <w:sz w:val="32"/>
          <w:szCs w:val="32"/>
          <w:u w:val="none"/>
        </w:rPr>
        <w:t>建立衔接配套的发展规划体系。坚持全面从严治党，加强党建创新，</w:t>
      </w:r>
      <w:r>
        <w:rPr>
          <w:rStyle w:val="20"/>
          <w:rFonts w:ascii="仿宋_GB2312" w:hAnsi="仿宋_GB2312" w:eastAsia="仿宋_GB2312"/>
          <w:color w:val="auto"/>
          <w:sz w:val="32"/>
          <w:szCs w:val="32"/>
          <w:u w:val="none"/>
        </w:rPr>
        <w:t>落实主体责任，党委负责规划的监督实施，确保党的路线方针政策在学校贯彻落实。</w:t>
      </w:r>
      <w:r>
        <w:rPr>
          <w:rStyle w:val="20"/>
          <w:rFonts w:ascii="仿宋_GB2312" w:hAnsi="仿宋_GB2312" w:eastAsia="仿宋_GB2312"/>
          <w:color w:val="auto"/>
          <w:kern w:val="0"/>
          <w:sz w:val="32"/>
          <w:szCs w:val="32"/>
          <w:u w:val="none"/>
        </w:rPr>
        <w:t>落实责任分工，基层党组织参与制定具体方案和措施，形成处处有计划、事事有落实、人人有责任、全程有考核的规划实施保障体系。</w:t>
      </w:r>
    </w:p>
    <w:p>
      <w:pPr>
        <w:pStyle w:val="3"/>
        <w:spacing w:line="560" w:lineRule="exact"/>
        <w:ind w:firstLine="643" w:firstLineChars="200"/>
        <w:rPr>
          <w:rFonts w:ascii="楷体_GB2312" w:hAnsi="楷体_GB2312" w:eastAsia="楷体_GB2312" w:cs="楷体_GB2312"/>
          <w:color w:val="auto"/>
          <w:u w:val="none"/>
        </w:rPr>
      </w:pPr>
      <w:bookmarkStart w:id="465" w:name="_Toc31714"/>
      <w:bookmarkStart w:id="466" w:name="_Toc12842"/>
      <w:bookmarkStart w:id="467" w:name="_Toc27864"/>
      <w:bookmarkStart w:id="468" w:name="_Toc12216"/>
      <w:bookmarkStart w:id="469" w:name="_Toc30548"/>
      <w:bookmarkStart w:id="470" w:name="_Toc27518"/>
      <w:bookmarkStart w:id="471" w:name="_Toc31071"/>
      <w:bookmarkStart w:id="472" w:name="_Toc5839"/>
      <w:bookmarkStart w:id="473" w:name="_Toc9581"/>
      <w:bookmarkStart w:id="474" w:name="_Toc32424"/>
      <w:bookmarkStart w:id="475" w:name="_Toc12497"/>
      <w:bookmarkStart w:id="476" w:name="_Toc14562"/>
      <w:bookmarkStart w:id="477" w:name="_Toc17826"/>
      <w:bookmarkStart w:id="478" w:name="_Toc18244"/>
      <w:bookmarkStart w:id="479" w:name="_Toc23047"/>
      <w:bookmarkStart w:id="480" w:name="_Toc319"/>
      <w:bookmarkStart w:id="481" w:name="_Toc16117"/>
      <w:bookmarkStart w:id="482" w:name="_Toc555"/>
      <w:bookmarkStart w:id="483" w:name="_Toc27800"/>
      <w:bookmarkStart w:id="484" w:name="_Toc825"/>
      <w:bookmarkStart w:id="485" w:name="_Toc11796"/>
      <w:r>
        <w:rPr>
          <w:rFonts w:hint="eastAsia" w:ascii="楷体_GB2312" w:hAnsi="楷体_GB2312" w:eastAsia="楷体_GB2312" w:cs="楷体_GB2312"/>
          <w:color w:val="auto"/>
          <w:u w:val="none"/>
        </w:rPr>
        <w:t>（二）坚持改革创新，提高办学水平</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bookmarkEnd w:id="479"/>
    <w:bookmarkEnd w:id="480"/>
    <w:bookmarkEnd w:id="481"/>
    <w:bookmarkEnd w:id="482"/>
    <w:bookmarkEnd w:id="483"/>
    <w:bookmarkEnd w:id="484"/>
    <w:bookmarkEnd w:id="485"/>
    <w:p>
      <w:pPr>
        <w:spacing w:line="560" w:lineRule="exact"/>
        <w:ind w:firstLine="64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强化改革意识，运用改革思维和办法，形成规划实施的路线图和时间表。以“功成不必在我、功成必定有我”的勇气和决心，系统推进规划实施各项工作。坚持有所为有所不为，推动学校围绕发展目标、加强规划落实、深化内部改革、提升治理能力，将工作重点聚焦到落实立德树人根本任务、提升教育教学质量水平和高水平特色发展科学化水平上来，切实保障规划的贯彻落实。</w:t>
      </w:r>
    </w:p>
    <w:p>
      <w:pPr>
        <w:pStyle w:val="3"/>
        <w:spacing w:line="560" w:lineRule="exact"/>
        <w:ind w:firstLine="643" w:firstLineChars="200"/>
        <w:rPr>
          <w:rFonts w:ascii="楷体_GB2312" w:hAnsi="楷体_GB2312" w:eastAsia="楷体_GB2312" w:cs="楷体_GB2312"/>
          <w:color w:val="auto"/>
          <w:u w:val="none"/>
        </w:rPr>
      </w:pPr>
      <w:bookmarkStart w:id="486" w:name="_Toc24174"/>
      <w:bookmarkStart w:id="487" w:name="_Toc25459"/>
      <w:bookmarkStart w:id="488" w:name="_Toc30204"/>
      <w:bookmarkStart w:id="489" w:name="_Toc26425"/>
      <w:bookmarkStart w:id="490" w:name="_Toc1536"/>
      <w:bookmarkStart w:id="491" w:name="_Toc10986"/>
      <w:bookmarkStart w:id="492" w:name="_Toc220"/>
      <w:bookmarkStart w:id="493" w:name="_Toc30689"/>
      <w:bookmarkStart w:id="494" w:name="_Toc12074"/>
      <w:bookmarkStart w:id="495" w:name="_Toc32105"/>
      <w:bookmarkStart w:id="496" w:name="_Toc10234"/>
      <w:bookmarkStart w:id="497" w:name="_Toc4646"/>
      <w:bookmarkStart w:id="498" w:name="_Toc24078"/>
      <w:bookmarkStart w:id="499" w:name="_Toc28223"/>
      <w:bookmarkStart w:id="500" w:name="_Toc307"/>
      <w:bookmarkStart w:id="501" w:name="_Toc9058"/>
      <w:bookmarkStart w:id="502" w:name="_Toc9677"/>
      <w:bookmarkStart w:id="503" w:name="_Toc23247"/>
      <w:bookmarkStart w:id="504" w:name="_Toc2988"/>
      <w:bookmarkStart w:id="505" w:name="_Toc21573"/>
      <w:bookmarkStart w:id="506" w:name="_Toc20571"/>
      <w:r>
        <w:rPr>
          <w:rFonts w:hint="eastAsia" w:ascii="楷体_GB2312" w:hAnsi="楷体_GB2312" w:eastAsia="楷体_GB2312" w:cs="楷体_GB2312"/>
          <w:color w:val="auto"/>
          <w:u w:val="none"/>
        </w:rPr>
        <w:t>（三）坚持目标引领，科学统筹协调</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bookmarkEnd w:id="500"/>
    <w:bookmarkEnd w:id="501"/>
    <w:bookmarkEnd w:id="502"/>
    <w:bookmarkEnd w:id="503"/>
    <w:bookmarkEnd w:id="504"/>
    <w:bookmarkEnd w:id="505"/>
    <w:bookmarkEnd w:id="506"/>
    <w:p>
      <w:pPr>
        <w:spacing w:line="560" w:lineRule="exact"/>
        <w:ind w:firstLine="64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坚持目标引领和问题导向，围绕规划提出的任务目标和精神要求，加强顶层设计及统筹谋划，强化部门协同及政策衔接，努力破解影响和制约规划实施的障碍及难点问题。改革投入方式，合理配置资源，精准发力攻坚。出台相关政策，加强预算控制和财务管理，深度挖潜，开源节流，提高人财物配置和经费的使用效率，形成建设合力，为高水平特色型大学建设提供资源保障。</w:t>
      </w:r>
    </w:p>
    <w:p>
      <w:pPr>
        <w:pStyle w:val="3"/>
        <w:spacing w:line="560" w:lineRule="exact"/>
        <w:ind w:firstLine="643" w:firstLineChars="200"/>
        <w:rPr>
          <w:rFonts w:ascii="楷体_GB2312" w:hAnsi="楷体_GB2312" w:eastAsia="楷体_GB2312" w:cs="楷体_GB2312"/>
          <w:color w:val="auto"/>
          <w:u w:val="none"/>
        </w:rPr>
      </w:pPr>
      <w:bookmarkStart w:id="507" w:name="_Toc20899"/>
      <w:bookmarkStart w:id="508" w:name="_Toc13602"/>
      <w:bookmarkStart w:id="509" w:name="_Toc20753"/>
      <w:bookmarkStart w:id="510" w:name="_Toc23865"/>
      <w:bookmarkStart w:id="511" w:name="_Toc3020"/>
      <w:bookmarkStart w:id="512" w:name="_Toc30258"/>
      <w:bookmarkStart w:id="513" w:name="_Toc1762"/>
      <w:bookmarkStart w:id="514" w:name="_Toc10242"/>
      <w:bookmarkStart w:id="515" w:name="_Toc10805"/>
      <w:bookmarkStart w:id="516" w:name="_Toc25347"/>
      <w:bookmarkStart w:id="517" w:name="_Toc26864"/>
      <w:bookmarkStart w:id="518" w:name="_Toc26626"/>
      <w:bookmarkStart w:id="519" w:name="_Toc26683"/>
      <w:bookmarkStart w:id="520" w:name="_Toc19209"/>
      <w:r>
        <w:rPr>
          <w:rFonts w:hint="eastAsia" w:ascii="楷体_GB2312" w:hAnsi="楷体_GB2312" w:eastAsia="楷体_GB2312" w:cs="楷体_GB2312"/>
          <w:color w:val="auto"/>
          <w:u w:val="none"/>
        </w:rPr>
        <w:t>（四）坚持民主办学，汇聚师生才智</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pPr>
        <w:spacing w:line="560" w:lineRule="exact"/>
        <w:ind w:firstLine="64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坚持以教师为主导、以学生为主体，加强民主</w:t>
      </w:r>
      <w:r>
        <w:rPr>
          <w:rStyle w:val="20"/>
          <w:rFonts w:hint="eastAsia" w:ascii="仿宋_GB2312" w:hAnsi="仿宋_GB2312" w:eastAsia="仿宋_GB2312"/>
          <w:color w:val="auto"/>
          <w:sz w:val="32"/>
          <w:szCs w:val="32"/>
          <w:u w:val="none"/>
        </w:rPr>
        <w:t>法治教育</w:t>
      </w:r>
      <w:r>
        <w:rPr>
          <w:rStyle w:val="20"/>
          <w:rFonts w:ascii="仿宋_GB2312" w:hAnsi="仿宋_GB2312" w:eastAsia="仿宋_GB2312"/>
          <w:color w:val="auto"/>
          <w:sz w:val="32"/>
          <w:szCs w:val="32"/>
          <w:u w:val="none"/>
        </w:rPr>
        <w:t>，不断增强民主法治意识。坚持围绕中心、服务大局，加强民主集中制建设，不断提高民主决策水平。坚持理论学习、技能培养，提高政治站位，不断提升民主管理能力。坚持民主协商、工作创新，完善教代会工代会学代会制度，不断拓展民主实现形式。调动师生参与学校发展积极性主动性创造性，把师生智慧集中到推进学校发展中</w:t>
      </w:r>
      <w:r>
        <w:rPr>
          <w:rStyle w:val="20"/>
          <w:rFonts w:hint="eastAsia" w:ascii="仿宋_GB2312" w:hAnsi="仿宋_GB2312" w:eastAsia="仿宋_GB2312"/>
          <w:color w:val="auto"/>
          <w:sz w:val="32"/>
          <w:szCs w:val="32"/>
          <w:u w:val="none"/>
        </w:rPr>
        <w:t>来</w:t>
      </w:r>
      <w:r>
        <w:rPr>
          <w:rStyle w:val="20"/>
          <w:rFonts w:ascii="仿宋_GB2312" w:hAnsi="仿宋_GB2312" w:eastAsia="仿宋_GB2312"/>
          <w:color w:val="auto"/>
          <w:u w:val="none"/>
        </w:rPr>
        <w:t>。</w:t>
      </w:r>
    </w:p>
    <w:p>
      <w:pPr>
        <w:pStyle w:val="3"/>
        <w:spacing w:line="560" w:lineRule="exact"/>
        <w:ind w:firstLine="643" w:firstLineChars="200"/>
        <w:rPr>
          <w:rFonts w:ascii="楷体_GB2312" w:hAnsi="楷体_GB2312" w:eastAsia="楷体_GB2312" w:cs="楷体_GB2312"/>
          <w:color w:val="auto"/>
          <w:u w:val="none"/>
        </w:rPr>
      </w:pPr>
      <w:bookmarkStart w:id="521" w:name="_Toc25727"/>
      <w:bookmarkStart w:id="522" w:name="_Toc6947"/>
      <w:bookmarkStart w:id="523" w:name="_Toc8682"/>
      <w:bookmarkStart w:id="524" w:name="_Toc21172"/>
      <w:bookmarkStart w:id="525" w:name="_Toc21818"/>
      <w:bookmarkStart w:id="526" w:name="_Toc31473"/>
      <w:bookmarkStart w:id="527" w:name="_Toc26685"/>
      <w:bookmarkStart w:id="528" w:name="_Toc9044"/>
      <w:bookmarkStart w:id="529" w:name="_Toc4766"/>
      <w:bookmarkStart w:id="530" w:name="_Toc13553"/>
      <w:bookmarkStart w:id="531" w:name="_Toc6157"/>
      <w:bookmarkStart w:id="532" w:name="_Toc17146"/>
      <w:bookmarkStart w:id="533" w:name="_Toc27345"/>
      <w:bookmarkStart w:id="534" w:name="_Toc11193"/>
      <w:bookmarkStart w:id="535" w:name="_Toc11514"/>
      <w:bookmarkStart w:id="536" w:name="_Toc4561"/>
      <w:bookmarkStart w:id="537" w:name="_Toc21699"/>
      <w:bookmarkStart w:id="538" w:name="_Toc29190"/>
      <w:bookmarkStart w:id="539" w:name="_Toc7223"/>
      <w:bookmarkStart w:id="540" w:name="_Toc27762"/>
      <w:bookmarkStart w:id="541" w:name="_Toc7624"/>
      <w:r>
        <w:rPr>
          <w:rFonts w:hint="eastAsia" w:ascii="楷体_GB2312" w:hAnsi="楷体_GB2312" w:eastAsia="楷体_GB2312" w:cs="楷体_GB2312"/>
          <w:color w:val="auto"/>
          <w:u w:val="none"/>
        </w:rPr>
        <w:t>（五）坚持开放办学，增强发展合力</w:t>
      </w:r>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bookmarkEnd w:id="535"/>
    <w:bookmarkEnd w:id="536"/>
    <w:bookmarkEnd w:id="537"/>
    <w:bookmarkEnd w:id="538"/>
    <w:bookmarkEnd w:id="539"/>
    <w:bookmarkEnd w:id="540"/>
    <w:bookmarkEnd w:id="541"/>
    <w:p>
      <w:pPr>
        <w:spacing w:line="560" w:lineRule="exact"/>
        <w:ind w:firstLine="64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遵循“以我为主、为我所用、互学互鉴”原则，</w:t>
      </w:r>
      <w:r>
        <w:rPr>
          <w:rStyle w:val="20"/>
          <w:rFonts w:ascii="仿宋_GB2312" w:hAnsi="仿宋_GB2312" w:eastAsia="仿宋_GB2312"/>
          <w:color w:val="auto"/>
          <w:kern w:val="0"/>
          <w:sz w:val="32"/>
          <w:szCs w:val="32"/>
          <w:u w:val="none"/>
        </w:rPr>
        <w:t>广泛宣传和深入解读规划，积极争取上级部门的支持，</w:t>
      </w:r>
      <w:r>
        <w:rPr>
          <w:rStyle w:val="20"/>
          <w:rFonts w:ascii="仿宋_GB2312" w:hAnsi="仿宋_GB2312" w:eastAsia="仿宋_GB2312"/>
          <w:color w:val="auto"/>
          <w:sz w:val="32"/>
          <w:szCs w:val="32"/>
          <w:u w:val="none"/>
        </w:rPr>
        <w:t>以多种方式开展与党政机关、兄弟院校、研究机构、企事业单位交流与合作，</w:t>
      </w:r>
      <w:r>
        <w:rPr>
          <w:rStyle w:val="20"/>
          <w:rFonts w:ascii="仿宋_GB2312" w:hAnsi="仿宋_GB2312" w:eastAsia="仿宋_GB2312"/>
          <w:color w:val="auto"/>
          <w:kern w:val="0"/>
          <w:sz w:val="32"/>
          <w:szCs w:val="32"/>
          <w:u w:val="none"/>
        </w:rPr>
        <w:t>为规划的顺利实施营造良好的内外部环境</w:t>
      </w:r>
      <w:r>
        <w:rPr>
          <w:rStyle w:val="20"/>
          <w:rFonts w:ascii="仿宋_GB2312" w:hAnsi="仿宋_GB2312" w:eastAsia="仿宋_GB2312"/>
          <w:color w:val="auto"/>
          <w:sz w:val="32"/>
          <w:szCs w:val="32"/>
          <w:u w:val="none"/>
        </w:rPr>
        <w:t>。讲好北印故事、中国故事，建设校外基地，建立专兼职相结合的导师队伍，进一步提升办学核心竞争力，让学校更紧密地融入到首都、行业和社会发展之中。</w:t>
      </w:r>
    </w:p>
    <w:p>
      <w:pPr>
        <w:pStyle w:val="3"/>
        <w:spacing w:line="560" w:lineRule="exact"/>
        <w:ind w:firstLine="643" w:firstLineChars="200"/>
        <w:rPr>
          <w:rFonts w:ascii="楷体_GB2312" w:hAnsi="楷体_GB2312" w:eastAsia="楷体_GB2312" w:cs="楷体_GB2312"/>
          <w:color w:val="auto"/>
          <w:u w:val="none"/>
        </w:rPr>
      </w:pPr>
      <w:bookmarkStart w:id="542" w:name="_Toc7453"/>
      <w:bookmarkStart w:id="543" w:name="_Toc25259"/>
      <w:bookmarkStart w:id="544" w:name="_Toc30333"/>
      <w:bookmarkStart w:id="545" w:name="_Toc19424"/>
      <w:bookmarkStart w:id="546" w:name="_Toc25017"/>
      <w:bookmarkStart w:id="547" w:name="_Toc21469"/>
      <w:bookmarkStart w:id="548" w:name="_Toc26363"/>
      <w:bookmarkStart w:id="549" w:name="_Toc29559"/>
      <w:bookmarkStart w:id="550" w:name="_Toc17815"/>
      <w:bookmarkStart w:id="551" w:name="_Toc3618"/>
      <w:bookmarkStart w:id="552" w:name="_Toc26725"/>
      <w:bookmarkStart w:id="553" w:name="_Toc16468"/>
      <w:bookmarkStart w:id="554" w:name="_Toc13220"/>
      <w:bookmarkStart w:id="555" w:name="_Toc8144"/>
      <w:bookmarkStart w:id="556" w:name="_Toc4780"/>
      <w:bookmarkStart w:id="557" w:name="_Toc24034"/>
      <w:bookmarkStart w:id="558" w:name="_Toc4180"/>
      <w:bookmarkStart w:id="559" w:name="_Toc17168"/>
      <w:bookmarkStart w:id="560" w:name="_Toc3950"/>
      <w:bookmarkStart w:id="561" w:name="_Toc27775"/>
      <w:bookmarkStart w:id="562" w:name="_Toc22014"/>
      <w:r>
        <w:rPr>
          <w:rFonts w:hint="eastAsia" w:ascii="楷体_GB2312" w:hAnsi="楷体_GB2312" w:eastAsia="楷体_GB2312" w:cs="楷体_GB2312"/>
          <w:color w:val="auto"/>
          <w:u w:val="none"/>
        </w:rPr>
        <w:t>（六）坚持激励引导，强化评估督查</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bookmarkEnd w:id="556"/>
    <w:bookmarkEnd w:id="557"/>
    <w:bookmarkEnd w:id="558"/>
    <w:bookmarkEnd w:id="559"/>
    <w:bookmarkEnd w:id="560"/>
    <w:bookmarkEnd w:id="561"/>
    <w:bookmarkEnd w:id="562"/>
    <w:p>
      <w:pPr>
        <w:spacing w:line="560" w:lineRule="exact"/>
        <w:ind w:firstLine="64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建立健全规划实施和督查机制，健全完善考核办法，做好督导、检查、评估、监测及风险管控。做好阶段性任务分解，建立年度、中期和五年期建设目标的检查、评估和考核制度，并将考核结果作为业绩和绩效评价的主要依据之一</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依据工作进展和建设成效，落实激励奖惩措施，发挥正向激励作用，充分调动各方面的积极性，确保“十四五”时期各项建设任务的顺利完成。</w:t>
      </w:r>
    </w:p>
    <w:p>
      <w:pPr>
        <w:jc w:val="center"/>
        <w:rPr>
          <w:rStyle w:val="20"/>
          <w:rFonts w:ascii="仿宋_GB2312" w:hAnsi="仿宋_GB2312" w:eastAsia="仿宋_GB2312"/>
          <w:b/>
          <w:bCs/>
          <w:color w:val="auto"/>
          <w:sz w:val="36"/>
          <w:szCs w:val="36"/>
          <w:u w:val="none"/>
        </w:rPr>
      </w:pPr>
    </w:p>
    <w:p>
      <w:pPr>
        <w:jc w:val="center"/>
        <w:rPr>
          <w:rStyle w:val="20"/>
          <w:rFonts w:ascii="仿宋_GB2312" w:hAnsi="仿宋_GB2312" w:eastAsia="仿宋_GB2312"/>
          <w:b/>
          <w:bCs/>
          <w:color w:val="auto"/>
          <w:sz w:val="36"/>
          <w:szCs w:val="36"/>
          <w:u w:val="none"/>
        </w:rPr>
      </w:pPr>
      <w:r>
        <w:rPr>
          <w:rStyle w:val="20"/>
          <w:rFonts w:hint="eastAsia" w:ascii="仿宋_GB2312" w:hAnsi="仿宋_GB2312" w:eastAsia="仿宋_GB2312"/>
          <w:b/>
          <w:bCs/>
          <w:color w:val="auto"/>
          <w:sz w:val="36"/>
          <w:szCs w:val="36"/>
          <w:u w:val="none"/>
        </w:rPr>
        <w:t>结束语</w:t>
      </w:r>
    </w:p>
    <w:p>
      <w:pPr>
        <w:jc w:val="center"/>
        <w:rPr>
          <w:rStyle w:val="20"/>
          <w:rFonts w:ascii="仿宋_GB2312" w:hAnsi="仿宋_GB2312" w:eastAsia="仿宋_GB2312"/>
          <w:b/>
          <w:bCs/>
          <w:color w:val="auto"/>
          <w:sz w:val="36"/>
          <w:szCs w:val="36"/>
          <w:u w:val="none"/>
        </w:rPr>
      </w:pP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策马扬鞭自奋蹄,砥砺奋进正当时。“十四五”发展规划，是全面布局学校未来五年改革与发展的行动指南。面对党和人民的关心和期待，面对</w:t>
      </w:r>
      <w:r>
        <w:rPr>
          <w:rStyle w:val="20"/>
          <w:rFonts w:hint="eastAsia" w:ascii="仿宋_GB2312" w:hAnsi="仿宋_GB2312" w:eastAsia="仿宋_GB2312"/>
          <w:color w:val="auto"/>
          <w:sz w:val="32"/>
          <w:szCs w:val="32"/>
          <w:u w:val="none"/>
        </w:rPr>
        <w:t>国家、</w:t>
      </w:r>
      <w:r>
        <w:rPr>
          <w:rStyle w:val="20"/>
          <w:rFonts w:ascii="仿宋_GB2312" w:hAnsi="仿宋_GB2312" w:eastAsia="仿宋_GB2312"/>
          <w:color w:val="auto"/>
          <w:sz w:val="32"/>
          <w:szCs w:val="32"/>
          <w:u w:val="none"/>
        </w:rPr>
        <w:t>首都和行业发展的机遇和挑战，在学校党委的领导下，北京印刷学院将以习近平新时代中国特色社会主义思想为指导，坚持党对学校工作的全面领导，紧密团结在以习近平同志为核心的党中央周围，坚持依靠和团结带领广大师生员工，同心同德，顽强奋斗。</w:t>
      </w:r>
      <w:r>
        <w:rPr>
          <w:rStyle w:val="20"/>
          <w:rFonts w:hint="eastAsia" w:ascii="仿宋_GB2312" w:hAnsi="仿宋_GB2312" w:eastAsia="仿宋_GB2312"/>
          <w:color w:val="auto"/>
          <w:sz w:val="32"/>
          <w:szCs w:val="32"/>
          <w:u w:val="none"/>
        </w:rPr>
        <w:t>坚持系统观念和新发展理念，</w:t>
      </w:r>
      <w:r>
        <w:rPr>
          <w:rStyle w:val="20"/>
          <w:rFonts w:ascii="仿宋_GB2312" w:hAnsi="仿宋_GB2312" w:eastAsia="仿宋_GB2312"/>
          <w:color w:val="auto"/>
          <w:sz w:val="32"/>
          <w:szCs w:val="32"/>
          <w:u w:val="none"/>
        </w:rPr>
        <w:t>把工作的着眼点放在脚踏实地、真抓实干上，把工作的聚焦点放在办出特色、争创一流上，把工作的着力点放在解决问题、推动发展上。全校师生员工要以高度的使命感和责任感，充分发挥主人翁意识和积极性、主动性、创造性，只争朝夕，不负韶华，确保学校“十四五”各项建设任务的顺利完成和战略目标的全面实现，为</w:t>
      </w:r>
      <w:r>
        <w:rPr>
          <w:rStyle w:val="20"/>
          <w:rFonts w:hint="eastAsia" w:ascii="仿宋_GB2312" w:hAnsi="仿宋_GB2312" w:eastAsia="仿宋_GB2312"/>
          <w:color w:val="auto"/>
          <w:sz w:val="32"/>
          <w:szCs w:val="32"/>
          <w:u w:val="none"/>
        </w:rPr>
        <w:t>早日建成</w:t>
      </w:r>
      <w:r>
        <w:rPr>
          <w:rStyle w:val="20"/>
          <w:rFonts w:ascii="仿宋_GB2312" w:hAnsi="仿宋_GB2312" w:eastAsia="仿宋_GB2312"/>
          <w:color w:val="auto"/>
          <w:sz w:val="32"/>
          <w:szCs w:val="32"/>
          <w:u w:val="none"/>
        </w:rPr>
        <w:t>高水平特色</w:t>
      </w:r>
      <w:r>
        <w:rPr>
          <w:rStyle w:val="20"/>
          <w:rFonts w:hint="eastAsia" w:ascii="仿宋_GB2312" w:hAnsi="仿宋_GB2312" w:eastAsia="仿宋_GB2312"/>
          <w:color w:val="auto"/>
          <w:sz w:val="32"/>
          <w:szCs w:val="32"/>
          <w:u w:val="none"/>
          <w:lang w:eastAsia="zh-CN"/>
        </w:rPr>
        <w:t>型大学</w:t>
      </w:r>
      <w:r>
        <w:rPr>
          <w:rStyle w:val="20"/>
          <w:rFonts w:ascii="仿宋_GB2312" w:hAnsi="仿宋_GB2312" w:eastAsia="仿宋_GB2312"/>
          <w:color w:val="auto"/>
          <w:sz w:val="32"/>
          <w:szCs w:val="32"/>
          <w:u w:val="none"/>
        </w:rPr>
        <w:t>而努力奋斗！</w:t>
      </w:r>
    </w:p>
    <w:p>
      <w:pPr>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br w:type="page"/>
      </w:r>
    </w:p>
    <w:p>
      <w:pPr>
        <w:pStyle w:val="2"/>
        <w:spacing w:line="560" w:lineRule="exact"/>
        <w:jc w:val="both"/>
        <w:rPr>
          <w:rFonts w:ascii="黑体" w:hAnsi="黑体" w:eastAsia="黑体" w:cs="黑体"/>
          <w:color w:val="auto"/>
          <w:sz w:val="40"/>
          <w:szCs w:val="40"/>
          <w:u w:val="none"/>
        </w:rPr>
      </w:pPr>
      <w:bookmarkStart w:id="563" w:name="_Toc5097"/>
      <w:bookmarkStart w:id="564" w:name="_Toc9842"/>
      <w:bookmarkStart w:id="565" w:name="_Toc2865"/>
      <w:bookmarkStart w:id="566" w:name="_Toc25858"/>
      <w:bookmarkStart w:id="567" w:name="_Toc27671"/>
      <w:bookmarkStart w:id="568" w:name="_Toc22049"/>
      <w:bookmarkStart w:id="569" w:name="_Toc5428"/>
      <w:bookmarkStart w:id="570" w:name="_Toc15633"/>
      <w:bookmarkStart w:id="571" w:name="_Toc7204"/>
      <w:bookmarkStart w:id="572" w:name="_Toc30765"/>
      <w:bookmarkStart w:id="573" w:name="_Toc8736"/>
      <w:bookmarkStart w:id="574" w:name="_Toc24751"/>
      <w:bookmarkStart w:id="575" w:name="_Toc25740"/>
      <w:bookmarkStart w:id="576" w:name="_Toc30529"/>
      <w:bookmarkStart w:id="577" w:name="_Toc17976"/>
      <w:bookmarkStart w:id="578" w:name="_Toc6359"/>
      <w:bookmarkStart w:id="579" w:name="_Toc22449"/>
      <w:r>
        <w:rPr>
          <w:rFonts w:hint="eastAsia" w:ascii="黑体" w:hAnsi="黑体" w:eastAsia="黑体" w:cs="黑体"/>
          <w:color w:val="auto"/>
          <w:sz w:val="40"/>
          <w:szCs w:val="40"/>
          <w:u w:val="none"/>
        </w:rPr>
        <w:t>附件</w:t>
      </w:r>
      <w:bookmarkEnd w:id="563"/>
      <w:bookmarkEnd w:id="564"/>
      <w:bookmarkEnd w:id="565"/>
      <w:bookmarkEnd w:id="566"/>
    </w:p>
    <w:p>
      <w:pPr>
        <w:pStyle w:val="2"/>
        <w:spacing w:line="560" w:lineRule="exact"/>
        <w:jc w:val="center"/>
        <w:rPr>
          <w:color w:val="auto"/>
          <w:szCs w:val="40"/>
          <w:u w:val="none"/>
        </w:rPr>
      </w:pPr>
      <w:bookmarkStart w:id="580" w:name="_Toc1358"/>
      <w:bookmarkStart w:id="581" w:name="_Toc30576"/>
      <w:bookmarkStart w:id="582" w:name="_Toc25005"/>
      <w:bookmarkStart w:id="583" w:name="_Toc12435"/>
      <w:r>
        <w:rPr>
          <w:rFonts w:hint="eastAsia" w:ascii="黑体" w:hAnsi="黑体" w:eastAsia="黑体" w:cs="黑体"/>
          <w:color w:val="auto"/>
          <w:sz w:val="40"/>
          <w:szCs w:val="40"/>
          <w:u w:val="none"/>
        </w:rPr>
        <w:t>“十四五”主要建设任务指标</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pPr>
        <w:jc w:val="center"/>
        <w:rPr>
          <w:rFonts w:ascii="黑体" w:hAnsi="黑体" w:eastAsia="黑体" w:cs="黑体"/>
          <w:b/>
          <w:bCs/>
          <w:color w:val="auto"/>
          <w:sz w:val="40"/>
          <w:szCs w:val="40"/>
          <w:u w:val="none"/>
        </w:rPr>
      </w:pP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3162"/>
        <w:gridCol w:w="680"/>
        <w:gridCol w:w="1500"/>
        <w:gridCol w:w="1900"/>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849" w:type="dxa"/>
            <w:vAlign w:val="center"/>
          </w:tcPr>
          <w:p>
            <w:pPr>
              <w:widowControl/>
              <w:spacing w:line="360" w:lineRule="exact"/>
              <w:jc w:val="center"/>
              <w:rPr>
                <w:rFonts w:ascii="宋体" w:hAnsi="宋体" w:cs="宋体"/>
                <w:b/>
                <w:bCs/>
                <w:color w:val="auto"/>
                <w:sz w:val="28"/>
                <w:szCs w:val="28"/>
                <w:u w:val="none"/>
              </w:rPr>
            </w:pPr>
            <w:r>
              <w:rPr>
                <w:rFonts w:hint="eastAsia" w:ascii="宋体" w:hAnsi="宋体" w:cs="宋体"/>
                <w:b/>
                <w:bCs/>
                <w:color w:val="auto"/>
                <w:sz w:val="28"/>
                <w:szCs w:val="28"/>
                <w:u w:val="none"/>
              </w:rPr>
              <w:t>一级指标</w:t>
            </w:r>
          </w:p>
        </w:tc>
        <w:tc>
          <w:tcPr>
            <w:tcW w:w="3842" w:type="dxa"/>
            <w:gridSpan w:val="2"/>
            <w:vAlign w:val="center"/>
          </w:tcPr>
          <w:p>
            <w:pPr>
              <w:widowControl/>
              <w:spacing w:line="360" w:lineRule="exact"/>
              <w:jc w:val="center"/>
              <w:rPr>
                <w:rFonts w:ascii="宋体" w:hAnsi="宋体" w:cs="宋体"/>
                <w:b/>
                <w:bCs/>
                <w:color w:val="auto"/>
                <w:sz w:val="28"/>
                <w:szCs w:val="28"/>
                <w:u w:val="none"/>
              </w:rPr>
            </w:pPr>
            <w:r>
              <w:rPr>
                <w:rFonts w:hint="eastAsia" w:ascii="宋体" w:hAnsi="宋体" w:cs="宋体"/>
                <w:b/>
                <w:bCs/>
                <w:color w:val="auto"/>
                <w:sz w:val="28"/>
                <w:szCs w:val="28"/>
                <w:u w:val="none"/>
              </w:rPr>
              <w:t>二级指标</w:t>
            </w:r>
          </w:p>
        </w:tc>
        <w:tc>
          <w:tcPr>
            <w:tcW w:w="1500" w:type="dxa"/>
            <w:vAlign w:val="center"/>
          </w:tcPr>
          <w:p>
            <w:pPr>
              <w:widowControl/>
              <w:spacing w:line="360" w:lineRule="exact"/>
              <w:jc w:val="center"/>
              <w:rPr>
                <w:rFonts w:ascii="宋体" w:hAnsi="宋体" w:cs="宋体"/>
                <w:b/>
                <w:bCs/>
                <w:color w:val="auto"/>
                <w:sz w:val="28"/>
                <w:szCs w:val="28"/>
                <w:u w:val="none"/>
              </w:rPr>
            </w:pPr>
            <w:r>
              <w:rPr>
                <w:rFonts w:hint="eastAsia" w:ascii="宋体" w:hAnsi="宋体" w:cs="宋体"/>
                <w:b/>
                <w:bCs/>
                <w:color w:val="auto"/>
                <w:sz w:val="28"/>
                <w:szCs w:val="28"/>
                <w:u w:val="none"/>
              </w:rPr>
              <w:t>“十四五”目标</w:t>
            </w:r>
          </w:p>
        </w:tc>
        <w:tc>
          <w:tcPr>
            <w:tcW w:w="1900" w:type="dxa"/>
            <w:vAlign w:val="center"/>
          </w:tcPr>
          <w:p>
            <w:pPr>
              <w:widowControl/>
              <w:spacing w:line="360" w:lineRule="exact"/>
              <w:jc w:val="center"/>
              <w:rPr>
                <w:rFonts w:ascii="宋体" w:hAnsi="宋体" w:cs="宋体"/>
                <w:b/>
                <w:bCs/>
                <w:color w:val="auto"/>
                <w:sz w:val="28"/>
                <w:szCs w:val="28"/>
                <w:u w:val="none"/>
              </w:rPr>
            </w:pPr>
            <w:r>
              <w:rPr>
                <w:rFonts w:hint="eastAsia" w:ascii="宋体" w:hAnsi="宋体" w:cs="宋体"/>
                <w:b/>
                <w:bCs/>
                <w:color w:val="auto"/>
                <w:sz w:val="28"/>
                <w:szCs w:val="28"/>
                <w:u w:val="none"/>
              </w:rPr>
              <w:t>责任单位</w:t>
            </w:r>
          </w:p>
        </w:tc>
        <w:tc>
          <w:tcPr>
            <w:tcW w:w="948" w:type="dxa"/>
            <w:vAlign w:val="center"/>
          </w:tcPr>
          <w:p>
            <w:pPr>
              <w:widowControl/>
              <w:spacing w:line="360" w:lineRule="exact"/>
              <w:jc w:val="center"/>
              <w:rPr>
                <w:rFonts w:ascii="宋体" w:hAnsi="宋体" w:cs="宋体"/>
                <w:b/>
                <w:bCs/>
                <w:color w:val="auto"/>
                <w:sz w:val="28"/>
                <w:szCs w:val="28"/>
                <w:u w:val="none"/>
              </w:rPr>
            </w:pPr>
            <w:r>
              <w:rPr>
                <w:rFonts w:hint="eastAsia" w:ascii="宋体" w:hAnsi="宋体" w:cs="宋体"/>
                <w:b/>
                <w:bCs/>
                <w:color w:val="auto"/>
                <w:sz w:val="28"/>
                <w:szCs w:val="28"/>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849" w:type="dxa"/>
            <w:vMerge w:val="restart"/>
            <w:vAlign w:val="center"/>
          </w:tcPr>
          <w:p>
            <w:pPr>
              <w:widowControl/>
              <w:spacing w:line="360" w:lineRule="exact"/>
              <w:jc w:val="center"/>
              <w:rPr>
                <w:rFonts w:ascii="宋体" w:hAnsi="宋体" w:cs="宋体"/>
                <w:b/>
                <w:bCs/>
                <w:color w:val="auto"/>
                <w:sz w:val="28"/>
                <w:szCs w:val="28"/>
                <w:u w:val="none"/>
              </w:rPr>
            </w:pPr>
            <w:r>
              <w:rPr>
                <w:rFonts w:hint="eastAsia" w:ascii="宋体" w:hAnsi="宋体" w:cs="宋体"/>
                <w:b/>
                <w:bCs/>
                <w:color w:val="auto"/>
                <w:sz w:val="28"/>
                <w:szCs w:val="28"/>
                <w:u w:val="none"/>
              </w:rPr>
              <w:t>人才培养</w:t>
            </w: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研究生学位发表SCI、EI、</w:t>
            </w:r>
            <w:r>
              <w:rPr>
                <w:rFonts w:hint="eastAsia" w:ascii="宋体" w:hAnsi="宋体" w:cs="宋体"/>
                <w:b w:val="0"/>
                <w:bCs w:val="0"/>
                <w:color w:val="auto"/>
                <w:sz w:val="28"/>
                <w:szCs w:val="28"/>
                <w:u w:val="none"/>
                <w:lang w:val="en-US" w:eastAsia="zh-CN"/>
              </w:rPr>
              <w:t>CPCI</w:t>
            </w:r>
            <w:r>
              <w:rPr>
                <w:rFonts w:hint="eastAsia" w:ascii="宋体" w:hAnsi="宋体" w:cs="宋体"/>
                <w:b w:val="0"/>
                <w:bCs w:val="0"/>
                <w:color w:val="auto"/>
                <w:sz w:val="28"/>
                <w:szCs w:val="28"/>
                <w:u w:val="none"/>
              </w:rPr>
              <w:t>、</w:t>
            </w:r>
            <w:r>
              <w:rPr>
                <w:rFonts w:hint="eastAsia" w:ascii="宋体" w:hAnsi="宋体" w:cs="宋体"/>
                <w:color w:val="auto"/>
                <w:sz w:val="28"/>
                <w:szCs w:val="28"/>
                <w:u w:val="none"/>
              </w:rPr>
              <w:t>CSSCI等检索论文数</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120</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研究生院</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国家级教学成果奖</w:t>
            </w:r>
          </w:p>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（教材奖）</w:t>
            </w:r>
          </w:p>
        </w:tc>
        <w:tc>
          <w:tcPr>
            <w:tcW w:w="1500" w:type="dxa"/>
            <w:vAlign w:val="center"/>
          </w:tcPr>
          <w:p>
            <w:pPr>
              <w:widowControl/>
              <w:spacing w:line="360" w:lineRule="exact"/>
              <w:jc w:val="center"/>
              <w:rPr>
                <w:rFonts w:hint="default" w:ascii="宋体" w:hAnsi="宋体" w:eastAsia="宋体" w:cs="宋体"/>
                <w:color w:val="auto"/>
                <w:sz w:val="28"/>
                <w:szCs w:val="28"/>
                <w:u w:val="none"/>
                <w:lang w:val="en-US" w:eastAsia="zh-CN"/>
              </w:rPr>
            </w:pPr>
            <w:r>
              <w:rPr>
                <w:rFonts w:hint="eastAsia" w:ascii="宋体" w:hAnsi="宋体" w:cs="宋体"/>
                <w:color w:val="auto"/>
                <w:sz w:val="28"/>
                <w:szCs w:val="28"/>
                <w:u w:val="none"/>
                <w:lang w:val="en-US" w:eastAsia="zh-CN"/>
              </w:rPr>
              <w:t>1-2</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北京市教学成果奖</w:t>
            </w:r>
            <w:r>
              <w:rPr>
                <w:rFonts w:hint="eastAsia" w:ascii="宋体" w:hAnsi="宋体" w:cs="宋体"/>
                <w:color w:val="auto"/>
                <w:sz w:val="28"/>
                <w:szCs w:val="28"/>
                <w:u w:val="none"/>
                <w:lang w:val="en-US" w:eastAsia="zh-CN"/>
              </w:rPr>
              <w:t xml:space="preserve">                 </w:t>
            </w:r>
            <w:r>
              <w:rPr>
                <w:rFonts w:hint="eastAsia" w:ascii="宋体" w:hAnsi="宋体" w:cs="宋体"/>
                <w:color w:val="auto"/>
                <w:sz w:val="28"/>
                <w:szCs w:val="28"/>
                <w:u w:val="none"/>
              </w:rPr>
              <w:t>（教材奖）</w:t>
            </w:r>
          </w:p>
        </w:tc>
        <w:tc>
          <w:tcPr>
            <w:tcW w:w="1500" w:type="dxa"/>
            <w:vAlign w:val="center"/>
          </w:tcPr>
          <w:p>
            <w:pPr>
              <w:widowControl/>
              <w:spacing w:line="360" w:lineRule="exact"/>
              <w:jc w:val="center"/>
              <w:rPr>
                <w:rFonts w:hint="default" w:ascii="宋体" w:hAnsi="宋体" w:eastAsia="宋体" w:cs="宋体"/>
                <w:color w:val="auto"/>
                <w:sz w:val="28"/>
                <w:szCs w:val="28"/>
                <w:u w:val="none"/>
                <w:lang w:val="en-US" w:eastAsia="zh-CN"/>
              </w:rPr>
            </w:pPr>
            <w:r>
              <w:rPr>
                <w:rFonts w:hint="eastAsia" w:ascii="宋体" w:hAnsi="宋体" w:cs="宋体"/>
                <w:color w:val="auto"/>
                <w:sz w:val="28"/>
                <w:szCs w:val="28"/>
                <w:u w:val="none"/>
                <w:lang w:val="en-US" w:eastAsia="zh-CN"/>
              </w:rPr>
              <w:t>8-10</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国家级教学名师</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1-2</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北京市教学名师</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4-6</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培育新专业</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4-6</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国家级一流本科专业建设点</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3-5</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北京市一流本科专业建设点</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5-7</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通过国家工程教育专业认证</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2-3</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162" w:type="dxa"/>
            <w:vMerge w:val="restart"/>
            <w:vAlign w:val="center"/>
          </w:tcPr>
          <w:p>
            <w:pPr>
              <w:widowControl/>
              <w:spacing w:line="360" w:lineRule="exact"/>
              <w:jc w:val="center"/>
              <w:rPr>
                <w:rFonts w:hint="eastAsia" w:ascii="宋体" w:hAnsi="宋体" w:eastAsia="宋体" w:cs="宋体"/>
                <w:b w:val="0"/>
                <w:bCs w:val="0"/>
                <w:color w:val="auto"/>
                <w:sz w:val="28"/>
                <w:szCs w:val="28"/>
                <w:u w:val="none"/>
                <w:lang w:eastAsia="zh-CN"/>
              </w:rPr>
            </w:pPr>
            <w:r>
              <w:rPr>
                <w:rFonts w:hint="eastAsia" w:ascii="宋体" w:hAnsi="宋体" w:cs="宋体"/>
                <w:b w:val="0"/>
                <w:bCs w:val="0"/>
                <w:color w:val="auto"/>
                <w:sz w:val="28"/>
                <w:szCs w:val="28"/>
                <w:u w:val="none"/>
                <w:lang w:eastAsia="zh-CN"/>
              </w:rPr>
              <w:t>软科中国大学专业排名</w:t>
            </w:r>
          </w:p>
        </w:tc>
        <w:tc>
          <w:tcPr>
            <w:tcW w:w="680" w:type="dxa"/>
            <w:vAlign w:val="center"/>
          </w:tcPr>
          <w:p>
            <w:pPr>
              <w:widowControl/>
              <w:spacing w:line="360" w:lineRule="exact"/>
              <w:jc w:val="center"/>
              <w:rPr>
                <w:rFonts w:hint="default" w:ascii="宋体" w:hAnsi="宋体" w:cs="宋体"/>
                <w:b w:val="0"/>
                <w:bCs w:val="0"/>
                <w:color w:val="auto"/>
                <w:sz w:val="28"/>
                <w:szCs w:val="28"/>
                <w:u w:val="none"/>
                <w:lang w:val="en-US" w:eastAsia="zh-CN"/>
              </w:rPr>
            </w:pPr>
            <w:r>
              <w:rPr>
                <w:rFonts w:hint="eastAsia" w:ascii="宋体" w:hAnsi="宋体" w:cs="宋体"/>
                <w:b w:val="0"/>
                <w:bCs w:val="0"/>
                <w:color w:val="auto"/>
                <w:sz w:val="28"/>
                <w:szCs w:val="28"/>
                <w:u w:val="none"/>
                <w:lang w:val="en-US" w:eastAsia="zh-CN"/>
              </w:rPr>
              <w:t>A+</w:t>
            </w:r>
          </w:p>
        </w:tc>
        <w:tc>
          <w:tcPr>
            <w:tcW w:w="1500" w:type="dxa"/>
            <w:vAlign w:val="center"/>
          </w:tcPr>
          <w:p>
            <w:pPr>
              <w:widowControl/>
              <w:spacing w:line="360" w:lineRule="exact"/>
              <w:jc w:val="center"/>
              <w:rPr>
                <w:rFonts w:hint="eastAsia" w:ascii="宋体" w:hAnsi="宋体" w:eastAsia="宋体" w:cs="宋体"/>
                <w:b w:val="0"/>
                <w:bCs w:val="0"/>
                <w:color w:val="auto"/>
                <w:sz w:val="28"/>
                <w:szCs w:val="28"/>
                <w:u w:val="none"/>
                <w:lang w:val="en-US" w:eastAsia="zh-CN"/>
              </w:rPr>
            </w:pPr>
            <w:r>
              <w:rPr>
                <w:rFonts w:hint="eastAsia" w:ascii="宋体" w:hAnsi="宋体" w:cs="宋体"/>
                <w:b w:val="0"/>
                <w:bCs w:val="0"/>
                <w:color w:val="auto"/>
                <w:sz w:val="28"/>
                <w:szCs w:val="28"/>
                <w:u w:val="none"/>
                <w:lang w:val="en-US" w:eastAsia="zh-CN"/>
              </w:rPr>
              <w:t>5</w:t>
            </w:r>
          </w:p>
        </w:tc>
        <w:tc>
          <w:tcPr>
            <w:tcW w:w="1900" w:type="dxa"/>
            <w:vAlign w:val="center"/>
          </w:tcPr>
          <w:p>
            <w:pPr>
              <w:widowControl/>
              <w:spacing w:line="360" w:lineRule="exact"/>
              <w:jc w:val="center"/>
              <w:rPr>
                <w:rFonts w:hint="eastAsia"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162" w:type="dxa"/>
            <w:vMerge w:val="continue"/>
            <w:vAlign w:val="center"/>
          </w:tcPr>
          <w:p>
            <w:pPr>
              <w:widowControl/>
              <w:spacing w:line="360" w:lineRule="exact"/>
              <w:jc w:val="center"/>
              <w:rPr>
                <w:rFonts w:hint="eastAsia" w:ascii="宋体" w:hAnsi="宋体" w:cs="宋体"/>
                <w:b w:val="0"/>
                <w:bCs w:val="0"/>
                <w:color w:val="auto"/>
                <w:sz w:val="28"/>
                <w:szCs w:val="28"/>
                <w:u w:val="none"/>
                <w:lang w:eastAsia="zh-CN"/>
              </w:rPr>
            </w:pPr>
          </w:p>
        </w:tc>
        <w:tc>
          <w:tcPr>
            <w:tcW w:w="680" w:type="dxa"/>
            <w:vAlign w:val="center"/>
          </w:tcPr>
          <w:p>
            <w:pPr>
              <w:widowControl/>
              <w:spacing w:line="360" w:lineRule="exact"/>
              <w:jc w:val="center"/>
              <w:rPr>
                <w:rFonts w:hint="eastAsia" w:ascii="宋体" w:hAnsi="宋体" w:eastAsia="宋体" w:cs="宋体"/>
                <w:b w:val="0"/>
                <w:bCs w:val="0"/>
                <w:color w:val="auto"/>
                <w:kern w:val="2"/>
                <w:sz w:val="28"/>
                <w:szCs w:val="28"/>
                <w:u w:val="none"/>
                <w:lang w:val="en-US" w:eastAsia="zh-CN" w:bidi="ar-SA"/>
              </w:rPr>
            </w:pPr>
            <w:r>
              <w:rPr>
                <w:rFonts w:hint="eastAsia" w:ascii="宋体" w:hAnsi="宋体" w:cs="宋体"/>
                <w:b w:val="0"/>
                <w:bCs w:val="0"/>
                <w:color w:val="auto"/>
                <w:sz w:val="28"/>
                <w:szCs w:val="28"/>
                <w:u w:val="none"/>
                <w:lang w:val="en-US" w:eastAsia="zh-CN"/>
              </w:rPr>
              <w:t>A</w:t>
            </w:r>
          </w:p>
        </w:tc>
        <w:tc>
          <w:tcPr>
            <w:tcW w:w="1500" w:type="dxa"/>
            <w:vAlign w:val="center"/>
          </w:tcPr>
          <w:p>
            <w:pPr>
              <w:widowControl/>
              <w:spacing w:line="360" w:lineRule="exact"/>
              <w:jc w:val="center"/>
              <w:rPr>
                <w:rFonts w:hint="eastAsia" w:ascii="宋体" w:hAnsi="宋体" w:eastAsia="宋体" w:cs="宋体"/>
                <w:b w:val="0"/>
                <w:bCs w:val="0"/>
                <w:color w:val="auto"/>
                <w:kern w:val="2"/>
                <w:sz w:val="28"/>
                <w:szCs w:val="28"/>
                <w:u w:val="none"/>
                <w:lang w:val="en-US" w:eastAsia="zh-CN" w:bidi="ar-SA"/>
              </w:rPr>
            </w:pPr>
            <w:r>
              <w:rPr>
                <w:rFonts w:hint="eastAsia" w:ascii="宋体" w:hAnsi="宋体" w:cs="宋体"/>
                <w:b w:val="0"/>
                <w:bCs w:val="0"/>
                <w:color w:val="auto"/>
                <w:sz w:val="28"/>
                <w:szCs w:val="28"/>
                <w:u w:val="none"/>
                <w:lang w:val="en-US" w:eastAsia="zh-CN"/>
              </w:rPr>
              <w:t>3</w:t>
            </w:r>
          </w:p>
        </w:tc>
        <w:tc>
          <w:tcPr>
            <w:tcW w:w="1900" w:type="dxa"/>
            <w:vAlign w:val="center"/>
          </w:tcPr>
          <w:p>
            <w:pPr>
              <w:widowControl/>
              <w:spacing w:line="360" w:lineRule="exact"/>
              <w:jc w:val="center"/>
              <w:rPr>
                <w:rFonts w:hint="eastAsia"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b w:val="0"/>
                <w:bCs w:val="0"/>
                <w:color w:val="auto"/>
                <w:sz w:val="28"/>
                <w:szCs w:val="28"/>
                <w:u w:val="none"/>
              </w:rPr>
            </w:pPr>
            <w:r>
              <w:rPr>
                <w:rFonts w:hint="eastAsia" w:ascii="宋体" w:hAnsi="宋体" w:cs="宋体"/>
                <w:b w:val="0"/>
                <w:bCs w:val="0"/>
                <w:color w:val="auto"/>
                <w:sz w:val="28"/>
                <w:szCs w:val="28"/>
                <w:u w:val="none"/>
              </w:rPr>
              <w:t>国家级</w:t>
            </w:r>
            <w:r>
              <w:rPr>
                <w:rFonts w:hint="eastAsia" w:ascii="宋体" w:hAnsi="宋体" w:cs="宋体"/>
                <w:b w:val="0"/>
                <w:bCs w:val="0"/>
                <w:color w:val="auto"/>
                <w:sz w:val="28"/>
                <w:szCs w:val="28"/>
                <w:u w:val="none"/>
                <w:lang w:eastAsia="zh-CN"/>
              </w:rPr>
              <w:t>一流</w:t>
            </w:r>
            <w:r>
              <w:rPr>
                <w:rFonts w:hint="eastAsia" w:ascii="宋体" w:hAnsi="宋体" w:cs="宋体"/>
                <w:b w:val="0"/>
                <w:bCs w:val="0"/>
                <w:color w:val="auto"/>
                <w:sz w:val="28"/>
                <w:szCs w:val="28"/>
                <w:u w:val="none"/>
              </w:rPr>
              <w:t>课程</w:t>
            </w:r>
          </w:p>
        </w:tc>
        <w:tc>
          <w:tcPr>
            <w:tcW w:w="1500" w:type="dxa"/>
            <w:vAlign w:val="center"/>
          </w:tcPr>
          <w:p>
            <w:pPr>
              <w:widowControl/>
              <w:spacing w:line="360" w:lineRule="exact"/>
              <w:jc w:val="center"/>
              <w:rPr>
                <w:rFonts w:hint="eastAsia" w:ascii="宋体" w:hAnsi="宋体" w:eastAsia="宋体" w:cs="宋体"/>
                <w:b w:val="0"/>
                <w:bCs w:val="0"/>
                <w:color w:val="auto"/>
                <w:sz w:val="28"/>
                <w:szCs w:val="28"/>
                <w:u w:val="none"/>
                <w:lang w:eastAsia="zh-CN"/>
              </w:rPr>
            </w:pPr>
            <w:r>
              <w:rPr>
                <w:rFonts w:hint="eastAsia" w:ascii="宋体" w:hAnsi="宋体" w:cs="宋体"/>
                <w:b w:val="0"/>
                <w:bCs w:val="0"/>
                <w:color w:val="auto"/>
                <w:sz w:val="28"/>
                <w:szCs w:val="28"/>
                <w:u w:val="none"/>
                <w:lang w:val="en-US" w:eastAsia="zh-CN"/>
              </w:rPr>
              <w:t>8门以上</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北京</w:t>
            </w:r>
            <w:r>
              <w:rPr>
                <w:rFonts w:hint="eastAsia" w:ascii="宋体" w:hAnsi="宋体" w:cs="宋体"/>
                <w:color w:val="auto"/>
                <w:sz w:val="28"/>
                <w:szCs w:val="28"/>
                <w:u w:val="none"/>
                <w:lang w:eastAsia="zh-CN"/>
              </w:rPr>
              <w:t>市优质</w:t>
            </w:r>
            <w:r>
              <w:rPr>
                <w:rFonts w:hint="eastAsia" w:ascii="宋体" w:hAnsi="宋体" w:cs="宋体"/>
                <w:color w:val="auto"/>
                <w:sz w:val="28"/>
                <w:szCs w:val="28"/>
                <w:u w:val="none"/>
              </w:rPr>
              <w:t>课程</w:t>
            </w:r>
          </w:p>
        </w:tc>
        <w:tc>
          <w:tcPr>
            <w:tcW w:w="1500" w:type="dxa"/>
            <w:vAlign w:val="center"/>
          </w:tcPr>
          <w:p>
            <w:pPr>
              <w:widowControl/>
              <w:spacing w:line="360" w:lineRule="exact"/>
              <w:jc w:val="center"/>
              <w:rPr>
                <w:rFonts w:hint="default" w:ascii="宋体" w:hAnsi="宋体" w:eastAsia="宋体" w:cs="宋体"/>
                <w:color w:val="auto"/>
                <w:sz w:val="28"/>
                <w:szCs w:val="28"/>
                <w:u w:val="none"/>
                <w:lang w:val="en-US" w:eastAsia="zh-CN"/>
              </w:rPr>
            </w:pPr>
            <w:r>
              <w:rPr>
                <w:rFonts w:hint="eastAsia" w:ascii="宋体" w:hAnsi="宋体" w:cs="宋体"/>
                <w:color w:val="auto"/>
                <w:sz w:val="28"/>
                <w:szCs w:val="28"/>
                <w:u w:val="none"/>
                <w:lang w:val="en-US" w:eastAsia="zh-CN"/>
              </w:rPr>
              <w:t xml:space="preserve">18-20 </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教务处</w:t>
            </w:r>
          </w:p>
        </w:tc>
        <w:tc>
          <w:tcPr>
            <w:tcW w:w="948" w:type="dxa"/>
            <w:vAlign w:val="center"/>
          </w:tcPr>
          <w:p>
            <w:pPr>
              <w:widowControl/>
              <w:spacing w:line="360" w:lineRule="exact"/>
              <w:jc w:val="center"/>
              <w:rPr>
                <w:rFonts w:ascii="宋体" w:hAnsi="宋体" w:cs="宋体"/>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49" w:type="dxa"/>
            <w:vMerge w:val="restart"/>
            <w:vAlign w:val="center"/>
          </w:tcPr>
          <w:p>
            <w:pPr>
              <w:widowControl/>
              <w:spacing w:line="360" w:lineRule="exact"/>
              <w:jc w:val="center"/>
              <w:rPr>
                <w:rFonts w:hint="eastAsia" w:ascii="宋体" w:hAnsi="宋体" w:eastAsia="宋体" w:cs="宋体"/>
                <w:b/>
                <w:bCs/>
                <w:color w:val="auto"/>
                <w:sz w:val="28"/>
                <w:szCs w:val="28"/>
                <w:u w:val="none"/>
                <w:lang w:eastAsia="zh-CN"/>
              </w:rPr>
            </w:pPr>
            <w:r>
              <w:rPr>
                <w:rFonts w:hint="eastAsia" w:ascii="宋体" w:hAnsi="宋体" w:cs="宋体"/>
                <w:b/>
                <w:bCs/>
                <w:color w:val="auto"/>
                <w:sz w:val="28"/>
                <w:szCs w:val="28"/>
                <w:u w:val="none"/>
                <w:lang w:eastAsia="zh-CN"/>
              </w:rPr>
              <w:t>学科建设</w:t>
            </w:r>
          </w:p>
        </w:tc>
        <w:tc>
          <w:tcPr>
            <w:tcW w:w="3162" w:type="dxa"/>
            <w:vMerge w:val="restart"/>
            <w:vAlign w:val="center"/>
          </w:tcPr>
          <w:p>
            <w:pPr>
              <w:widowControl/>
              <w:spacing w:line="360" w:lineRule="exact"/>
              <w:jc w:val="center"/>
              <w:rPr>
                <w:rFonts w:hint="default" w:ascii="宋体" w:hAnsi="宋体" w:eastAsia="宋体" w:cs="宋体"/>
                <w:b w:val="0"/>
                <w:bCs w:val="0"/>
                <w:color w:val="auto"/>
                <w:sz w:val="28"/>
                <w:szCs w:val="28"/>
                <w:u w:val="none"/>
                <w:lang w:val="en-US" w:eastAsia="zh-CN"/>
              </w:rPr>
            </w:pPr>
            <w:r>
              <w:rPr>
                <w:rFonts w:hint="eastAsia" w:ascii="宋体" w:hAnsi="宋体" w:cs="宋体"/>
                <w:b w:val="0"/>
                <w:bCs w:val="0"/>
                <w:color w:val="auto"/>
                <w:sz w:val="28"/>
                <w:szCs w:val="28"/>
                <w:u w:val="none"/>
                <w:lang w:eastAsia="zh-CN"/>
              </w:rPr>
              <w:t>教育部全国学科评估排名</w:t>
            </w:r>
          </w:p>
        </w:tc>
        <w:tc>
          <w:tcPr>
            <w:tcW w:w="680" w:type="dxa"/>
            <w:vAlign w:val="center"/>
          </w:tcPr>
          <w:p>
            <w:pPr>
              <w:widowControl/>
              <w:spacing w:line="360" w:lineRule="exact"/>
              <w:jc w:val="center"/>
              <w:rPr>
                <w:rFonts w:hint="eastAsia" w:ascii="宋体" w:hAnsi="宋体" w:cs="宋体"/>
                <w:b w:val="0"/>
                <w:bCs w:val="0"/>
                <w:color w:val="auto"/>
                <w:sz w:val="28"/>
                <w:szCs w:val="28"/>
                <w:u w:val="none"/>
                <w:lang w:eastAsia="zh-CN"/>
              </w:rPr>
            </w:pPr>
            <w:r>
              <w:rPr>
                <w:rFonts w:hint="eastAsia" w:ascii="宋体" w:hAnsi="宋体" w:cs="宋体"/>
                <w:b w:val="0"/>
                <w:bCs w:val="0"/>
                <w:color w:val="auto"/>
                <w:sz w:val="28"/>
                <w:szCs w:val="28"/>
                <w:u w:val="none"/>
                <w:lang w:val="en-US" w:eastAsia="zh-CN"/>
              </w:rPr>
              <w:t>B+</w:t>
            </w:r>
          </w:p>
        </w:tc>
        <w:tc>
          <w:tcPr>
            <w:tcW w:w="1500" w:type="dxa"/>
            <w:vAlign w:val="center"/>
          </w:tcPr>
          <w:p>
            <w:pPr>
              <w:widowControl/>
              <w:spacing w:line="360" w:lineRule="exact"/>
              <w:jc w:val="center"/>
              <w:rPr>
                <w:rFonts w:hint="default" w:ascii="宋体" w:hAnsi="宋体" w:eastAsia="宋体" w:cs="宋体"/>
                <w:b w:val="0"/>
                <w:bCs w:val="0"/>
                <w:color w:val="auto"/>
                <w:sz w:val="28"/>
                <w:szCs w:val="28"/>
                <w:u w:val="none"/>
                <w:lang w:val="en-US" w:eastAsia="zh-CN"/>
              </w:rPr>
            </w:pPr>
            <w:r>
              <w:rPr>
                <w:rFonts w:hint="eastAsia" w:ascii="宋体" w:hAnsi="宋体" w:cs="宋体"/>
                <w:b w:val="0"/>
                <w:bCs w:val="0"/>
                <w:color w:val="auto"/>
                <w:sz w:val="28"/>
                <w:szCs w:val="28"/>
                <w:u w:val="none"/>
                <w:lang w:val="en-US" w:eastAsia="zh-CN"/>
              </w:rPr>
              <w:t>2</w:t>
            </w:r>
          </w:p>
        </w:tc>
        <w:tc>
          <w:tcPr>
            <w:tcW w:w="1900" w:type="dxa"/>
            <w:vAlign w:val="center"/>
          </w:tcPr>
          <w:p>
            <w:pPr>
              <w:widowControl/>
              <w:spacing w:line="360" w:lineRule="exact"/>
              <w:jc w:val="center"/>
              <w:rPr>
                <w:rFonts w:hint="eastAsia" w:ascii="宋体" w:hAnsi="宋体" w:cs="宋体"/>
                <w:color w:val="auto"/>
                <w:sz w:val="28"/>
                <w:szCs w:val="28"/>
                <w:u w:val="none"/>
              </w:rPr>
            </w:pPr>
            <w:r>
              <w:rPr>
                <w:rFonts w:hint="eastAsia" w:ascii="宋体" w:hAnsi="宋体" w:cs="宋体"/>
                <w:color w:val="auto"/>
                <w:sz w:val="28"/>
                <w:szCs w:val="28"/>
                <w:u w:val="none"/>
              </w:rPr>
              <w:t>研究生院</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849" w:type="dxa"/>
            <w:vMerge w:val="continue"/>
            <w:vAlign w:val="center"/>
          </w:tcPr>
          <w:p>
            <w:pPr>
              <w:widowControl/>
              <w:spacing w:line="360" w:lineRule="exact"/>
              <w:jc w:val="center"/>
              <w:rPr>
                <w:rFonts w:hint="eastAsia" w:ascii="宋体" w:hAnsi="宋体" w:cs="宋体"/>
                <w:b/>
                <w:bCs/>
                <w:color w:val="auto"/>
                <w:sz w:val="28"/>
                <w:szCs w:val="28"/>
                <w:u w:val="none"/>
              </w:rPr>
            </w:pPr>
          </w:p>
        </w:tc>
        <w:tc>
          <w:tcPr>
            <w:tcW w:w="3162" w:type="dxa"/>
            <w:vMerge w:val="continue"/>
            <w:vAlign w:val="center"/>
          </w:tcPr>
          <w:p>
            <w:pPr>
              <w:widowControl/>
              <w:spacing w:line="360" w:lineRule="exact"/>
              <w:jc w:val="center"/>
              <w:rPr>
                <w:rFonts w:hint="default" w:ascii="宋体" w:hAnsi="宋体" w:cs="宋体"/>
                <w:b w:val="0"/>
                <w:bCs w:val="0"/>
                <w:color w:val="auto"/>
                <w:sz w:val="28"/>
                <w:szCs w:val="28"/>
                <w:u w:val="none"/>
                <w:lang w:val="en-US" w:eastAsia="zh-CN"/>
              </w:rPr>
            </w:pPr>
          </w:p>
        </w:tc>
        <w:tc>
          <w:tcPr>
            <w:tcW w:w="680" w:type="dxa"/>
            <w:vAlign w:val="center"/>
          </w:tcPr>
          <w:p>
            <w:pPr>
              <w:widowControl/>
              <w:spacing w:line="360" w:lineRule="exact"/>
              <w:jc w:val="center"/>
              <w:rPr>
                <w:rFonts w:hint="eastAsia" w:ascii="宋体" w:hAnsi="宋体" w:cs="宋体"/>
                <w:b w:val="0"/>
                <w:bCs w:val="0"/>
                <w:color w:val="auto"/>
                <w:sz w:val="28"/>
                <w:szCs w:val="28"/>
                <w:u w:val="none"/>
                <w:lang w:val="en-US" w:eastAsia="zh-CN"/>
              </w:rPr>
            </w:pPr>
            <w:r>
              <w:rPr>
                <w:rFonts w:hint="eastAsia" w:ascii="宋体" w:hAnsi="宋体" w:cs="宋体"/>
                <w:b w:val="0"/>
                <w:bCs w:val="0"/>
                <w:color w:val="auto"/>
                <w:sz w:val="28"/>
                <w:szCs w:val="28"/>
                <w:u w:val="none"/>
                <w:lang w:val="en-US" w:eastAsia="zh-CN"/>
              </w:rPr>
              <w:t>B</w:t>
            </w:r>
          </w:p>
        </w:tc>
        <w:tc>
          <w:tcPr>
            <w:tcW w:w="1500" w:type="dxa"/>
            <w:vAlign w:val="center"/>
          </w:tcPr>
          <w:p>
            <w:pPr>
              <w:widowControl/>
              <w:spacing w:line="360" w:lineRule="exact"/>
              <w:jc w:val="center"/>
              <w:rPr>
                <w:rFonts w:hint="eastAsia" w:ascii="宋体" w:hAnsi="宋体" w:eastAsia="宋体" w:cs="宋体"/>
                <w:b w:val="0"/>
                <w:bCs w:val="0"/>
                <w:color w:val="auto"/>
                <w:sz w:val="28"/>
                <w:szCs w:val="28"/>
                <w:u w:val="none"/>
                <w:lang w:val="en-US" w:eastAsia="zh-CN"/>
              </w:rPr>
            </w:pPr>
            <w:r>
              <w:rPr>
                <w:rFonts w:hint="eastAsia" w:ascii="宋体" w:hAnsi="宋体" w:cs="宋体"/>
                <w:b w:val="0"/>
                <w:bCs w:val="0"/>
                <w:color w:val="auto"/>
                <w:sz w:val="28"/>
                <w:szCs w:val="28"/>
                <w:u w:val="none"/>
                <w:lang w:val="en-US" w:eastAsia="zh-CN"/>
              </w:rPr>
              <w:t>2</w:t>
            </w:r>
          </w:p>
        </w:tc>
        <w:tc>
          <w:tcPr>
            <w:tcW w:w="1900" w:type="dxa"/>
            <w:vAlign w:val="center"/>
          </w:tcPr>
          <w:p>
            <w:pPr>
              <w:widowControl/>
              <w:spacing w:line="360" w:lineRule="exact"/>
              <w:jc w:val="center"/>
              <w:rPr>
                <w:rFonts w:hint="eastAsia" w:ascii="宋体" w:hAnsi="宋体" w:cs="宋体"/>
                <w:color w:val="auto"/>
                <w:sz w:val="28"/>
                <w:szCs w:val="28"/>
                <w:u w:val="none"/>
              </w:rPr>
            </w:pPr>
            <w:r>
              <w:rPr>
                <w:rFonts w:hint="eastAsia" w:ascii="宋体" w:hAnsi="宋体" w:cs="宋体"/>
                <w:color w:val="auto"/>
                <w:sz w:val="28"/>
                <w:szCs w:val="28"/>
                <w:u w:val="none"/>
              </w:rPr>
              <w:t>研究生院</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新增硕士学位授权点</w:t>
            </w:r>
          </w:p>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（学硕、专硕）</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5-7</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研究生院</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jc w:val="center"/>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lang w:eastAsia="zh-CN"/>
              </w:rPr>
              <w:t>博士授权单位</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lang w:eastAsia="zh-CN"/>
              </w:rPr>
              <w:t>1</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研究生院</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pPr>
              <w:widowControl/>
              <w:spacing w:line="360" w:lineRule="exact"/>
              <w:jc w:val="center"/>
              <w:rPr>
                <w:rFonts w:ascii="宋体" w:hAnsi="宋体" w:eastAsia="宋体" w:cs="宋体"/>
                <w:b/>
                <w:bCs/>
                <w:color w:val="auto"/>
                <w:kern w:val="2"/>
                <w:sz w:val="28"/>
                <w:szCs w:val="28"/>
                <w:u w:val="none"/>
                <w:lang w:val="en-US" w:eastAsia="zh-CN" w:bidi="ar-SA"/>
              </w:rPr>
            </w:pPr>
            <w:r>
              <w:rPr>
                <w:rFonts w:hint="eastAsia" w:ascii="宋体" w:hAnsi="宋体" w:cs="宋体"/>
                <w:b/>
                <w:bCs/>
                <w:color w:val="auto"/>
                <w:sz w:val="24"/>
                <w:szCs w:val="24"/>
                <w:u w:val="none"/>
              </w:rPr>
              <w:t>一级指标</w:t>
            </w:r>
          </w:p>
        </w:tc>
        <w:tc>
          <w:tcPr>
            <w:tcW w:w="3842" w:type="dxa"/>
            <w:gridSpan w:val="2"/>
            <w:vAlign w:val="center"/>
          </w:tcPr>
          <w:p>
            <w:pPr>
              <w:widowControl/>
              <w:spacing w:line="360" w:lineRule="exact"/>
              <w:jc w:val="center"/>
              <w:rPr>
                <w:rFonts w:hint="eastAsia" w:ascii="宋体" w:hAnsi="宋体" w:eastAsia="宋体" w:cs="宋体"/>
                <w:color w:val="auto"/>
                <w:kern w:val="2"/>
                <w:sz w:val="24"/>
                <w:szCs w:val="24"/>
                <w:u w:val="none"/>
                <w:lang w:val="en-US" w:eastAsia="zh-CN" w:bidi="ar-SA"/>
              </w:rPr>
            </w:pPr>
            <w:r>
              <w:rPr>
                <w:rFonts w:hint="eastAsia" w:ascii="宋体" w:hAnsi="宋体" w:cs="宋体"/>
                <w:b/>
                <w:bCs/>
                <w:color w:val="auto"/>
                <w:sz w:val="24"/>
                <w:szCs w:val="24"/>
                <w:u w:val="none"/>
              </w:rPr>
              <w:t>二级指标</w:t>
            </w:r>
          </w:p>
        </w:tc>
        <w:tc>
          <w:tcPr>
            <w:tcW w:w="1500" w:type="dxa"/>
            <w:vAlign w:val="center"/>
          </w:tcPr>
          <w:p>
            <w:pPr>
              <w:widowControl/>
              <w:spacing w:line="360" w:lineRule="exact"/>
              <w:jc w:val="center"/>
              <w:rPr>
                <w:rFonts w:hint="eastAsia" w:ascii="宋体" w:hAnsi="宋体" w:eastAsia="宋体" w:cs="宋体"/>
                <w:color w:val="auto"/>
                <w:kern w:val="2"/>
                <w:sz w:val="24"/>
                <w:szCs w:val="24"/>
                <w:u w:val="none"/>
                <w:lang w:val="en-US" w:eastAsia="zh-CN" w:bidi="ar-SA"/>
              </w:rPr>
            </w:pPr>
            <w:r>
              <w:rPr>
                <w:rFonts w:hint="eastAsia" w:ascii="宋体" w:hAnsi="宋体" w:cs="宋体"/>
                <w:b/>
                <w:bCs/>
                <w:color w:val="auto"/>
                <w:sz w:val="24"/>
                <w:szCs w:val="24"/>
                <w:u w:val="none"/>
              </w:rPr>
              <w:t>“十四五”目标</w:t>
            </w:r>
          </w:p>
        </w:tc>
        <w:tc>
          <w:tcPr>
            <w:tcW w:w="1900" w:type="dxa"/>
            <w:vAlign w:val="center"/>
          </w:tcPr>
          <w:p>
            <w:pPr>
              <w:widowControl/>
              <w:spacing w:line="360" w:lineRule="exact"/>
              <w:jc w:val="center"/>
              <w:rPr>
                <w:rFonts w:hint="eastAsia" w:ascii="宋体" w:hAnsi="宋体" w:eastAsia="宋体" w:cs="宋体"/>
                <w:color w:val="auto"/>
                <w:kern w:val="2"/>
                <w:sz w:val="24"/>
                <w:szCs w:val="24"/>
                <w:u w:val="none"/>
                <w:lang w:val="en-US" w:eastAsia="zh-CN" w:bidi="ar-SA"/>
              </w:rPr>
            </w:pPr>
            <w:r>
              <w:rPr>
                <w:rFonts w:hint="eastAsia" w:ascii="宋体" w:hAnsi="宋体" w:cs="宋体"/>
                <w:b/>
                <w:bCs/>
                <w:color w:val="auto"/>
                <w:sz w:val="24"/>
                <w:szCs w:val="24"/>
                <w:u w:val="none"/>
              </w:rPr>
              <w:t>责任单位</w:t>
            </w:r>
          </w:p>
        </w:tc>
        <w:tc>
          <w:tcPr>
            <w:tcW w:w="948" w:type="dxa"/>
            <w:vAlign w:val="center"/>
          </w:tcPr>
          <w:p>
            <w:pPr>
              <w:widowControl/>
              <w:spacing w:line="360" w:lineRule="exact"/>
              <w:jc w:val="center"/>
              <w:rPr>
                <w:rFonts w:ascii="宋体" w:hAnsi="宋体" w:eastAsia="宋体" w:cs="宋体"/>
                <w:color w:val="auto"/>
                <w:kern w:val="2"/>
                <w:sz w:val="24"/>
                <w:szCs w:val="24"/>
                <w:u w:val="none"/>
                <w:lang w:val="en-US" w:eastAsia="zh-CN" w:bidi="ar-SA"/>
              </w:rPr>
            </w:pPr>
            <w:r>
              <w:rPr>
                <w:rFonts w:hint="eastAsia" w:ascii="宋体" w:hAnsi="宋体" w:cs="宋体"/>
                <w:b/>
                <w:bCs/>
                <w:color w:val="auto"/>
                <w:sz w:val="24"/>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restart"/>
            <w:vAlign w:val="center"/>
          </w:tcPr>
          <w:p>
            <w:pPr>
              <w:widowControl/>
              <w:spacing w:line="360" w:lineRule="exact"/>
              <w:jc w:val="center"/>
              <w:rPr>
                <w:rFonts w:ascii="宋体" w:hAnsi="宋体" w:cs="宋体"/>
                <w:b/>
                <w:bCs/>
                <w:color w:val="auto"/>
                <w:sz w:val="28"/>
                <w:szCs w:val="28"/>
                <w:u w:val="none"/>
              </w:rPr>
            </w:pPr>
            <w:r>
              <w:rPr>
                <w:rFonts w:hint="eastAsia" w:ascii="宋体" w:hAnsi="宋体" w:cs="宋体"/>
                <w:b/>
                <w:bCs/>
                <w:color w:val="auto"/>
                <w:sz w:val="28"/>
                <w:szCs w:val="28"/>
                <w:u w:val="none"/>
              </w:rPr>
              <w:t>科学研究</w:t>
            </w: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国家级科研平台</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1-2</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科研处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国家级科研项目立项</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60</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科研处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省部级科研项目立项</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125</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科研处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获国家级科研成果奖</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1-2</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科研处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获省部级科研成果奖</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2-3</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科研处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获其他类国家级奖励</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1-2</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科研处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获其他类省部级奖励</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1-2</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科研处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SCI、EI、ISTP、CSSCI等检索论文数</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1000</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科研处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9" w:type="dxa"/>
            <w:vMerge w:val="continue"/>
            <w:vAlign w:val="center"/>
          </w:tcPr>
          <w:p>
            <w:pPr>
              <w:widowControl/>
              <w:spacing w:line="360" w:lineRule="exact"/>
              <w:jc w:val="center"/>
              <w:rPr>
                <w:rFonts w:ascii="宋体" w:hAnsi="宋体" w:cs="宋体"/>
                <w:b/>
                <w:bCs/>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科研总经费（5年）</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3亿元</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科研处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restart"/>
            <w:vAlign w:val="center"/>
          </w:tcPr>
          <w:p>
            <w:pPr>
              <w:widowControl/>
              <w:spacing w:line="360" w:lineRule="exact"/>
              <w:jc w:val="center"/>
              <w:rPr>
                <w:rFonts w:ascii="宋体" w:hAnsi="宋体" w:cs="宋体"/>
                <w:b/>
                <w:bCs/>
                <w:color w:val="auto"/>
                <w:sz w:val="28"/>
                <w:szCs w:val="28"/>
                <w:u w:val="none"/>
              </w:rPr>
            </w:pPr>
            <w:r>
              <w:rPr>
                <w:rFonts w:hint="eastAsia" w:ascii="宋体" w:hAnsi="宋体" w:cs="宋体"/>
                <w:b/>
                <w:bCs/>
                <w:color w:val="auto"/>
                <w:sz w:val="28"/>
                <w:szCs w:val="28"/>
                <w:u w:val="none"/>
              </w:rPr>
              <w:t>师资队伍</w:t>
            </w: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专任教师占教职工总数比例</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65%</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人事处</w:t>
            </w:r>
          </w:p>
        </w:tc>
        <w:tc>
          <w:tcPr>
            <w:tcW w:w="948" w:type="dxa"/>
            <w:vAlign w:val="center"/>
          </w:tcPr>
          <w:p>
            <w:pPr>
              <w:widowControl/>
              <w:spacing w:line="360" w:lineRule="exact"/>
              <w:jc w:val="center"/>
              <w:rPr>
                <w:rFonts w:ascii="宋体" w:hAnsi="宋体" w:cs="宋体"/>
                <w:color w:val="auto"/>
                <w:sz w:val="24"/>
                <w:szCs w:val="24"/>
                <w:u w:val="none"/>
              </w:rPr>
            </w:pPr>
            <w:r>
              <w:rPr>
                <w:rFonts w:hint="eastAsia" w:ascii="宋体" w:hAnsi="宋体" w:cs="宋体"/>
                <w:color w:val="auto"/>
                <w:sz w:val="28"/>
                <w:szCs w:val="28"/>
                <w:u w:val="none"/>
                <w:lang w:eastAsia="zh-CN"/>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高级专业技术职称教师人数</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320</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人事处</w:t>
            </w:r>
          </w:p>
        </w:tc>
        <w:tc>
          <w:tcPr>
            <w:tcW w:w="948" w:type="dxa"/>
            <w:vAlign w:val="center"/>
          </w:tcPr>
          <w:p>
            <w:pPr>
              <w:widowControl/>
              <w:spacing w:line="360" w:lineRule="exact"/>
              <w:jc w:val="center"/>
              <w:rPr>
                <w:rFonts w:ascii="宋体" w:hAnsi="宋体" w:cs="宋体"/>
                <w:color w:val="auto"/>
                <w:sz w:val="24"/>
                <w:szCs w:val="24"/>
                <w:u w:val="none"/>
              </w:rPr>
            </w:pPr>
            <w:r>
              <w:rPr>
                <w:rFonts w:hint="eastAsia" w:ascii="宋体" w:hAnsi="宋体" w:cs="宋体"/>
                <w:color w:val="auto"/>
                <w:sz w:val="28"/>
                <w:szCs w:val="28"/>
                <w:u w:val="none"/>
                <w:lang w:eastAsia="zh-CN"/>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引进高水平师资团队</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2-3</w:t>
            </w:r>
          </w:p>
        </w:tc>
        <w:tc>
          <w:tcPr>
            <w:tcW w:w="1900" w:type="dxa"/>
            <w:vAlign w:val="center"/>
          </w:tcPr>
          <w:p>
            <w:pPr>
              <w:widowControl/>
              <w:spacing w:line="360" w:lineRule="exact"/>
              <w:jc w:val="center"/>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lang w:eastAsia="zh-CN"/>
              </w:rPr>
              <w:t>人事处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重点培育领军人才</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15-20</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lang w:eastAsia="zh-CN"/>
              </w:rPr>
              <w:t>人事处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师资骨干</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150左右</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lang w:eastAsia="zh-CN"/>
              </w:rPr>
              <w:t>人事处</w:t>
            </w:r>
          </w:p>
        </w:tc>
        <w:tc>
          <w:tcPr>
            <w:tcW w:w="948" w:type="dxa"/>
            <w:vAlign w:val="center"/>
          </w:tcPr>
          <w:p>
            <w:pPr>
              <w:widowControl/>
              <w:spacing w:line="360" w:lineRule="exact"/>
              <w:jc w:val="center"/>
              <w:rPr>
                <w:rFonts w:ascii="宋体" w:hAnsi="宋体" w:cs="宋体"/>
                <w:color w:val="auto"/>
                <w:sz w:val="24"/>
                <w:szCs w:val="24"/>
                <w:u w:val="none"/>
              </w:rPr>
            </w:pPr>
            <w:r>
              <w:rPr>
                <w:rFonts w:hint="eastAsia" w:ascii="宋体" w:hAnsi="宋体" w:cs="宋体"/>
                <w:color w:val="auto"/>
                <w:sz w:val="28"/>
                <w:szCs w:val="28"/>
                <w:u w:val="none"/>
                <w:lang w:eastAsia="zh-CN"/>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具有博士学位教师比例占专任教师总人数比例</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55%</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人事处</w:t>
            </w:r>
          </w:p>
        </w:tc>
        <w:tc>
          <w:tcPr>
            <w:tcW w:w="948" w:type="dxa"/>
            <w:vAlign w:val="center"/>
          </w:tcPr>
          <w:p>
            <w:pPr>
              <w:widowControl/>
              <w:spacing w:line="360" w:lineRule="exact"/>
              <w:jc w:val="center"/>
              <w:rPr>
                <w:rFonts w:ascii="宋体" w:hAnsi="宋体" w:cs="宋体"/>
                <w:color w:val="auto"/>
                <w:sz w:val="24"/>
                <w:szCs w:val="24"/>
                <w:u w:val="none"/>
              </w:rPr>
            </w:pPr>
            <w:r>
              <w:rPr>
                <w:rFonts w:hint="eastAsia" w:ascii="宋体" w:hAnsi="宋体" w:cs="宋体"/>
                <w:color w:val="auto"/>
                <w:sz w:val="28"/>
                <w:szCs w:val="28"/>
                <w:u w:val="none"/>
                <w:lang w:eastAsia="zh-CN"/>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特色发展学科具有博士学位教师占专</w:t>
            </w:r>
            <w:r>
              <w:rPr>
                <w:rFonts w:hint="eastAsia" w:ascii="宋体" w:hAnsi="宋体" w:cs="宋体"/>
                <w:color w:val="auto"/>
                <w:sz w:val="28"/>
                <w:szCs w:val="28"/>
                <w:u w:val="none"/>
                <w:lang w:eastAsia="zh-CN"/>
              </w:rPr>
              <w:t>任</w:t>
            </w:r>
            <w:r>
              <w:rPr>
                <w:rFonts w:hint="eastAsia" w:ascii="宋体" w:hAnsi="宋体" w:cs="宋体"/>
                <w:color w:val="auto"/>
                <w:sz w:val="28"/>
                <w:szCs w:val="28"/>
                <w:u w:val="none"/>
              </w:rPr>
              <w:t>教师总</w:t>
            </w:r>
            <w:r>
              <w:rPr>
                <w:rFonts w:hint="eastAsia" w:ascii="宋体" w:hAnsi="宋体" w:cs="宋体"/>
                <w:color w:val="auto"/>
                <w:sz w:val="28"/>
                <w:szCs w:val="28"/>
                <w:u w:val="none"/>
                <w:lang w:eastAsia="zh-CN"/>
              </w:rPr>
              <w:t>人</w:t>
            </w:r>
            <w:r>
              <w:rPr>
                <w:rFonts w:hint="eastAsia" w:ascii="宋体" w:hAnsi="宋体" w:cs="宋体"/>
                <w:color w:val="auto"/>
                <w:sz w:val="28"/>
                <w:szCs w:val="28"/>
                <w:u w:val="none"/>
              </w:rPr>
              <w:t>数比例</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65%</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人事处</w:t>
            </w:r>
          </w:p>
        </w:tc>
        <w:tc>
          <w:tcPr>
            <w:tcW w:w="948" w:type="dxa"/>
            <w:vAlign w:val="center"/>
          </w:tcPr>
          <w:p>
            <w:pPr>
              <w:widowControl/>
              <w:spacing w:line="360" w:lineRule="exact"/>
              <w:jc w:val="center"/>
              <w:rPr>
                <w:rFonts w:ascii="宋体" w:hAnsi="宋体" w:cs="宋体"/>
                <w:color w:val="auto"/>
                <w:sz w:val="24"/>
                <w:szCs w:val="24"/>
                <w:u w:val="none"/>
              </w:rPr>
            </w:pPr>
            <w:r>
              <w:rPr>
                <w:rFonts w:hint="eastAsia" w:ascii="宋体" w:hAnsi="宋体" w:cs="宋体"/>
                <w:color w:val="auto"/>
                <w:sz w:val="28"/>
                <w:szCs w:val="28"/>
                <w:u w:val="none"/>
                <w:lang w:eastAsia="zh-CN"/>
              </w:rPr>
              <w:t>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当量生师比</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16:1</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人事处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入选国家级人才</w:t>
            </w:r>
          </w:p>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（长江学者、杰青等）</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1-2</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人事处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ind w:right="-291" w:rightChars="-104"/>
              <w:jc w:val="both"/>
              <w:rPr>
                <w:rFonts w:ascii="宋体" w:hAnsi="宋体" w:cs="宋体"/>
                <w:color w:val="auto"/>
                <w:sz w:val="28"/>
                <w:szCs w:val="28"/>
                <w:u w:val="none"/>
              </w:rPr>
            </w:pPr>
            <w:r>
              <w:rPr>
                <w:rFonts w:hint="eastAsia" w:ascii="宋体" w:hAnsi="宋体" w:cs="宋体"/>
                <w:color w:val="auto"/>
                <w:sz w:val="28"/>
                <w:szCs w:val="28"/>
                <w:u w:val="none"/>
              </w:rPr>
              <w:t>市级学术创新人才（同级别）</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4-6</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人事处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49" w:type="dxa"/>
            <w:vMerge w:val="continue"/>
            <w:vAlign w:val="center"/>
          </w:tcPr>
          <w:p>
            <w:pPr>
              <w:widowControl/>
              <w:spacing w:line="360" w:lineRule="exact"/>
              <w:jc w:val="center"/>
              <w:rPr>
                <w:rFonts w:ascii="宋体" w:hAnsi="宋体" w:cs="宋体"/>
                <w:color w:val="auto"/>
                <w:sz w:val="28"/>
                <w:szCs w:val="28"/>
                <w:u w:val="none"/>
              </w:rPr>
            </w:pPr>
          </w:p>
        </w:tc>
        <w:tc>
          <w:tcPr>
            <w:tcW w:w="3842" w:type="dxa"/>
            <w:gridSpan w:val="2"/>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在站博士后</w:t>
            </w:r>
          </w:p>
        </w:tc>
        <w:tc>
          <w:tcPr>
            <w:tcW w:w="15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20</w:t>
            </w:r>
          </w:p>
        </w:tc>
        <w:tc>
          <w:tcPr>
            <w:tcW w:w="1900" w:type="dxa"/>
            <w:vAlign w:val="center"/>
          </w:tcPr>
          <w:p>
            <w:pPr>
              <w:widowControl/>
              <w:spacing w:line="360" w:lineRule="exact"/>
              <w:jc w:val="center"/>
              <w:rPr>
                <w:rFonts w:ascii="宋体" w:hAnsi="宋体" w:cs="宋体"/>
                <w:color w:val="auto"/>
                <w:sz w:val="28"/>
                <w:szCs w:val="28"/>
                <w:u w:val="none"/>
              </w:rPr>
            </w:pPr>
            <w:r>
              <w:rPr>
                <w:rFonts w:hint="eastAsia" w:ascii="宋体" w:hAnsi="宋体" w:cs="宋体"/>
                <w:color w:val="auto"/>
                <w:sz w:val="28"/>
                <w:szCs w:val="28"/>
                <w:u w:val="none"/>
              </w:rPr>
              <w:t>人事处</w:t>
            </w:r>
          </w:p>
        </w:tc>
        <w:tc>
          <w:tcPr>
            <w:tcW w:w="948" w:type="dxa"/>
            <w:vAlign w:val="center"/>
          </w:tcPr>
          <w:p>
            <w:pPr>
              <w:widowControl/>
              <w:spacing w:line="360" w:lineRule="exact"/>
              <w:jc w:val="center"/>
              <w:rPr>
                <w:rFonts w:ascii="宋体" w:hAnsi="宋体" w:cs="宋体"/>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9" w:type="dxa"/>
            <w:vAlign w:val="center"/>
          </w:tcPr>
          <w:p>
            <w:pPr>
              <w:widowControl/>
              <w:spacing w:line="360" w:lineRule="exact"/>
              <w:jc w:val="center"/>
              <w:rPr>
                <w:rFonts w:hint="eastAsia" w:ascii="宋体" w:hAnsi="宋体" w:eastAsia="宋体" w:cs="宋体"/>
                <w:color w:val="auto"/>
                <w:sz w:val="28"/>
                <w:szCs w:val="28"/>
                <w:u w:val="none"/>
                <w:lang w:eastAsia="zh-CN"/>
              </w:rPr>
            </w:pPr>
            <w:r>
              <w:rPr>
                <w:rFonts w:hint="eastAsia" w:ascii="宋体" w:hAnsi="宋体" w:cs="宋体"/>
                <w:b/>
                <w:bCs/>
                <w:color w:val="auto"/>
                <w:sz w:val="28"/>
                <w:szCs w:val="28"/>
                <w:u w:val="none"/>
                <w:lang w:eastAsia="zh-CN"/>
              </w:rPr>
              <w:t>办学条件</w:t>
            </w:r>
          </w:p>
        </w:tc>
        <w:tc>
          <w:tcPr>
            <w:tcW w:w="3842" w:type="dxa"/>
            <w:gridSpan w:val="2"/>
            <w:vAlign w:val="center"/>
          </w:tcPr>
          <w:p>
            <w:pPr>
              <w:widowControl/>
              <w:spacing w:line="360" w:lineRule="exact"/>
              <w:jc w:val="center"/>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lang w:eastAsia="zh-CN"/>
              </w:rPr>
              <w:t>增加校园建筑面积</w:t>
            </w:r>
          </w:p>
        </w:tc>
        <w:tc>
          <w:tcPr>
            <w:tcW w:w="1500" w:type="dxa"/>
            <w:vAlign w:val="center"/>
          </w:tcPr>
          <w:p>
            <w:pPr>
              <w:widowControl/>
              <w:spacing w:line="360" w:lineRule="exact"/>
              <w:ind w:right="-115" w:rightChars="-41"/>
              <w:jc w:val="center"/>
              <w:rPr>
                <w:rFonts w:hint="eastAsia" w:ascii="宋体" w:hAnsi="宋体" w:eastAsia="宋体" w:cs="宋体"/>
                <w:color w:val="auto"/>
                <w:sz w:val="28"/>
                <w:szCs w:val="28"/>
                <w:u w:val="none"/>
                <w:lang w:val="en-US" w:eastAsia="zh-CN"/>
              </w:rPr>
            </w:pPr>
            <w:r>
              <w:rPr>
                <w:rFonts w:hint="eastAsia" w:ascii="宋体" w:hAnsi="宋体" w:cs="宋体"/>
                <w:color w:val="auto"/>
                <w:sz w:val="28"/>
                <w:szCs w:val="28"/>
                <w:u w:val="none"/>
                <w:lang w:val="en-US" w:eastAsia="zh-CN"/>
              </w:rPr>
              <w:t>5万平方米</w:t>
            </w:r>
          </w:p>
        </w:tc>
        <w:tc>
          <w:tcPr>
            <w:tcW w:w="1900" w:type="dxa"/>
            <w:vAlign w:val="center"/>
          </w:tcPr>
          <w:p>
            <w:pPr>
              <w:widowControl/>
              <w:spacing w:line="360" w:lineRule="exact"/>
              <w:jc w:val="center"/>
              <w:rPr>
                <w:rFonts w:hint="eastAsia" w:ascii="宋体" w:hAnsi="宋体" w:eastAsia="宋体" w:cs="宋体"/>
                <w:color w:val="auto"/>
                <w:sz w:val="28"/>
                <w:szCs w:val="28"/>
                <w:u w:val="none"/>
                <w:lang w:eastAsia="zh-CN"/>
              </w:rPr>
            </w:pPr>
            <w:r>
              <w:rPr>
                <w:rFonts w:hint="eastAsia" w:ascii="宋体" w:hAnsi="宋体" w:cs="宋体"/>
                <w:color w:val="auto"/>
                <w:sz w:val="28"/>
                <w:szCs w:val="28"/>
                <w:u w:val="none"/>
                <w:lang w:eastAsia="zh-CN"/>
              </w:rPr>
              <w:t>基建处</w:t>
            </w:r>
          </w:p>
        </w:tc>
        <w:tc>
          <w:tcPr>
            <w:tcW w:w="948" w:type="dxa"/>
            <w:vAlign w:val="center"/>
          </w:tcPr>
          <w:p>
            <w:pPr>
              <w:widowControl/>
              <w:spacing w:line="360" w:lineRule="exact"/>
              <w:jc w:val="center"/>
              <w:rPr>
                <w:rFonts w:ascii="宋体" w:hAnsi="宋体" w:cs="宋体"/>
                <w:color w:val="auto"/>
                <w:sz w:val="24"/>
                <w:szCs w:val="24"/>
                <w:u w:val="none"/>
              </w:rPr>
            </w:pPr>
          </w:p>
        </w:tc>
      </w:tr>
    </w:tbl>
    <w:p>
      <w:pPr>
        <w:spacing w:line="560" w:lineRule="exact"/>
        <w:ind w:firstLine="643" w:firstLineChars="200"/>
        <w:rPr>
          <w:rStyle w:val="20"/>
          <w:rFonts w:hint="eastAsia" w:ascii="仿宋_GB2312" w:hAnsi="仿宋_GB2312" w:eastAsia="仿宋_GB2312" w:cs="仿宋_GB2312"/>
          <w:b/>
          <w:bCs/>
          <w:color w:val="auto"/>
          <w:sz w:val="32"/>
          <w:szCs w:val="32"/>
          <w:u w:val="none"/>
          <w:lang w:eastAsia="zh-CN"/>
        </w:rPr>
      </w:pPr>
      <w:r>
        <w:rPr>
          <w:rStyle w:val="20"/>
          <w:rFonts w:hint="eastAsia" w:ascii="仿宋_GB2312" w:hAnsi="仿宋_GB2312" w:eastAsia="仿宋_GB2312" w:cs="仿宋_GB2312"/>
          <w:b/>
          <w:bCs/>
          <w:color w:val="auto"/>
          <w:sz w:val="32"/>
          <w:szCs w:val="32"/>
          <w:u w:val="none"/>
          <w:lang w:eastAsia="zh-CN"/>
        </w:rPr>
        <w:t>备注：</w:t>
      </w:r>
      <w:r>
        <w:rPr>
          <w:rFonts w:hint="eastAsia" w:ascii="宋体" w:hAnsi="宋体" w:cs="宋体"/>
          <w:color w:val="auto"/>
          <w:sz w:val="28"/>
          <w:szCs w:val="28"/>
          <w:u w:val="none"/>
          <w:lang w:eastAsia="zh-CN"/>
        </w:rPr>
        <w:t>未标注“总量”的指标均为“新增”。</w:t>
      </w:r>
    </w:p>
    <w:p>
      <w:pPr>
        <w:spacing w:line="560" w:lineRule="exact"/>
        <w:ind w:firstLine="643" w:firstLineChars="200"/>
        <w:rPr>
          <w:rStyle w:val="20"/>
          <w:rFonts w:ascii="仿宋_GB2312" w:hAnsi="仿宋_GB2312" w:eastAsia="仿宋_GB2312" w:cs="仿宋_GB2312"/>
          <w:b/>
          <w:bCs/>
          <w:color w:val="auto"/>
          <w:sz w:val="32"/>
          <w:szCs w:val="32"/>
          <w:u w:val="none"/>
        </w:rPr>
      </w:pPr>
      <w:r>
        <w:rPr>
          <w:rStyle w:val="20"/>
          <w:rFonts w:ascii="仿宋_GB2312" w:hAnsi="仿宋_GB2312" w:eastAsia="仿宋_GB2312" w:cs="仿宋_GB2312"/>
          <w:b/>
          <w:bCs/>
          <w:color w:val="auto"/>
          <w:sz w:val="32"/>
          <w:szCs w:val="32"/>
          <w:u w:val="none"/>
        </w:rPr>
        <w:t>参考材料：</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1.习近平谈治国理政，第一、二、三卷</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2.习近平：关于《中共中央关于制定国民经济和社会发展第十四个五年规划和二〇三五年远景目标的建议》的说明</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3.党的十九届五中全会公报</w:t>
      </w:r>
    </w:p>
    <w:p>
      <w:pPr>
        <w:spacing w:line="560" w:lineRule="exact"/>
        <w:ind w:right="-372" w:rightChars="-133" w:firstLine="640" w:firstLineChars="200"/>
        <w:rPr>
          <w:rStyle w:val="20"/>
          <w:rFonts w:hint="eastAsia" w:ascii="仿宋_GB2312" w:hAnsi="仿宋_GB2312" w:eastAsia="仿宋_GB2312" w:cs="Times New Roman"/>
          <w:b w:val="0"/>
          <w:bCs w:val="0"/>
          <w:i w:val="0"/>
          <w:iCs w:val="0"/>
          <w:color w:val="auto"/>
          <w:sz w:val="32"/>
          <w:szCs w:val="32"/>
          <w:u w:val="none"/>
          <w:lang w:val="en-US" w:eastAsia="zh-CN"/>
        </w:rPr>
      </w:pPr>
      <w:r>
        <w:rPr>
          <w:rStyle w:val="20"/>
          <w:rFonts w:hint="eastAsia" w:ascii="仿宋_GB2312" w:hAnsi="仿宋_GB2312" w:eastAsia="仿宋_GB2312" w:cs="Times New Roman"/>
          <w:b w:val="0"/>
          <w:bCs w:val="0"/>
          <w:i w:val="0"/>
          <w:iCs w:val="0"/>
          <w:color w:val="auto"/>
          <w:sz w:val="32"/>
          <w:szCs w:val="32"/>
          <w:u w:val="none"/>
          <w:lang w:val="en-US" w:eastAsia="zh-CN"/>
        </w:rPr>
        <w:t>4.中共</w:t>
      </w:r>
      <w:r>
        <w:rPr>
          <w:rStyle w:val="20"/>
          <w:rFonts w:hint="default" w:ascii="仿宋_GB2312" w:hAnsi="仿宋_GB2312" w:eastAsia="仿宋_GB2312" w:cs="Times New Roman"/>
          <w:b w:val="0"/>
          <w:bCs w:val="0"/>
          <w:i w:val="0"/>
          <w:iCs w:val="0"/>
          <w:color w:val="auto"/>
          <w:sz w:val="32"/>
          <w:szCs w:val="32"/>
          <w:u w:val="none"/>
          <w:lang w:val="en-US" w:eastAsia="zh-CN"/>
        </w:rPr>
        <w:t>中央国务院《深化新时代教育评价改革总体方案》</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5.新中国发展规划70年</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6.中国教育现代化2035</w:t>
      </w:r>
      <w:r>
        <w:rPr>
          <w:rStyle w:val="20"/>
          <w:rFonts w:hint="eastAsia" w:ascii="仿宋_GB2312" w:hAnsi="仿宋_GB2312" w:eastAsia="仿宋_GB2312"/>
          <w:color w:val="auto"/>
          <w:sz w:val="32"/>
          <w:szCs w:val="32"/>
          <w:u w:val="none"/>
        </w:rPr>
        <w:t xml:space="preserve">                                                                                                                                                                                                                                                                                                                       </w:t>
      </w:r>
    </w:p>
    <w:p>
      <w:pPr>
        <w:spacing w:line="560" w:lineRule="exact"/>
        <w:ind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7.加速推进教育现代化（2018-2022）</w:t>
      </w:r>
    </w:p>
    <w:p>
      <w:pPr>
        <w:spacing w:line="560" w:lineRule="exact"/>
        <w:ind w:firstLine="640" w:firstLineChars="200"/>
        <w:rPr>
          <w:rStyle w:val="20"/>
          <w:rFonts w:ascii="仿宋_GB2312" w:hAnsi="仿宋_GB2312" w:eastAsia="仿宋_GB2312"/>
          <w:color w:val="auto"/>
          <w:sz w:val="32"/>
          <w:szCs w:val="32"/>
          <w:u w:val="none"/>
        </w:rPr>
      </w:pPr>
      <w:r>
        <w:rPr>
          <w:rStyle w:val="20"/>
          <w:rFonts w:hint="eastAsia" w:ascii="仿宋_GB2312" w:hAnsi="仿宋_GB2312" w:eastAsia="仿宋_GB2312" w:cs="Times New Roman"/>
          <w:color w:val="auto"/>
          <w:sz w:val="32"/>
          <w:szCs w:val="32"/>
          <w:u w:val="none"/>
        </w:rPr>
        <w:t>8</w:t>
      </w:r>
      <w:r>
        <w:rPr>
          <w:rStyle w:val="20"/>
          <w:rFonts w:ascii="仿宋_GB2312" w:hAnsi="仿宋_GB2312" w:eastAsia="仿宋_GB2312" w:cs="Times New Roman"/>
          <w:color w:val="auto"/>
          <w:sz w:val="32"/>
          <w:szCs w:val="32"/>
          <w:u w:val="none"/>
        </w:rPr>
        <w:t>.</w:t>
      </w:r>
      <w:r>
        <w:rPr>
          <w:rStyle w:val="20"/>
          <w:rFonts w:ascii="仿宋_GB2312" w:hAnsi="仿宋_GB2312" w:eastAsia="仿宋_GB2312"/>
          <w:color w:val="auto"/>
          <w:sz w:val="32"/>
          <w:szCs w:val="32"/>
          <w:u w:val="none"/>
        </w:rPr>
        <w:t>国家教育事业发展“十三五”规划</w:t>
      </w:r>
    </w:p>
    <w:p>
      <w:pPr>
        <w:spacing w:line="560" w:lineRule="exact"/>
        <w:ind w:right="-932" w:firstLine="640" w:firstLineChars="200"/>
        <w:rPr>
          <w:rStyle w:val="20"/>
          <w:rFonts w:ascii="仿宋_GB2312" w:hAnsi="仿宋_GB2312" w:eastAsia="仿宋_GB2312" w:cs="Times New Roman"/>
          <w:color w:val="auto"/>
          <w:sz w:val="32"/>
          <w:szCs w:val="32"/>
          <w:u w:val="none"/>
        </w:rPr>
      </w:pPr>
      <w:r>
        <w:rPr>
          <w:rStyle w:val="20"/>
          <w:rFonts w:hint="eastAsia" w:ascii="仿宋_GB2312" w:hAnsi="仿宋_GB2312" w:eastAsia="仿宋_GB2312" w:cs="Times New Roman"/>
          <w:color w:val="auto"/>
          <w:sz w:val="32"/>
          <w:szCs w:val="32"/>
          <w:u w:val="none"/>
        </w:rPr>
        <w:t>9</w:t>
      </w:r>
      <w:r>
        <w:rPr>
          <w:rStyle w:val="20"/>
          <w:rFonts w:ascii="仿宋_GB2312" w:hAnsi="仿宋_GB2312" w:eastAsia="仿宋_GB2312" w:cs="Times New Roman"/>
          <w:color w:val="auto"/>
          <w:sz w:val="32"/>
          <w:szCs w:val="32"/>
          <w:u w:val="none"/>
        </w:rPr>
        <w:t>.北京市国民经济和社会发展第十四个五年规划和二O三五年远景目标纲要</w:t>
      </w:r>
    </w:p>
    <w:p>
      <w:pPr>
        <w:spacing w:line="560" w:lineRule="exact"/>
        <w:ind w:right="-1494" w:rightChars="0" w:firstLine="640" w:firstLineChars="200"/>
        <w:rPr>
          <w:rStyle w:val="20"/>
          <w:rFonts w:ascii="仿宋_GB2312" w:hAnsi="仿宋_GB2312" w:eastAsia="仿宋_GB2312" w:cs="Times New Roman"/>
          <w:color w:val="auto"/>
          <w:sz w:val="32"/>
          <w:szCs w:val="32"/>
          <w:u w:val="none"/>
        </w:rPr>
      </w:pPr>
      <w:r>
        <w:rPr>
          <w:rStyle w:val="20"/>
          <w:rFonts w:ascii="仿宋_GB2312" w:hAnsi="仿宋_GB2312" w:eastAsia="仿宋_GB2312"/>
          <w:color w:val="auto"/>
          <w:sz w:val="32"/>
          <w:szCs w:val="32"/>
          <w:u w:val="none"/>
        </w:rPr>
        <w:t>10.</w:t>
      </w:r>
      <w:r>
        <w:rPr>
          <w:rStyle w:val="20"/>
          <w:rFonts w:hint="eastAsia" w:ascii="仿宋_GB2312" w:hAnsi="仿宋_GB2312" w:eastAsia="仿宋_GB2312" w:cs="Times New Roman"/>
          <w:color w:val="auto"/>
          <w:sz w:val="32"/>
          <w:szCs w:val="32"/>
          <w:u w:val="none"/>
        </w:rPr>
        <w:t>北京市“十四五”时期教育改革和发展规划（2021-2025年）</w:t>
      </w:r>
    </w:p>
    <w:p>
      <w:pPr>
        <w:spacing w:line="560" w:lineRule="exact"/>
        <w:ind w:right="-372" w:rightChars="-133" w:firstLine="640" w:firstLineChars="200"/>
        <w:rPr>
          <w:rStyle w:val="20"/>
          <w:rFonts w:hint="default" w:ascii="仿宋_GB2312" w:hAnsi="仿宋_GB2312" w:eastAsia="仿宋_GB2312" w:cs="Times New Roman"/>
          <w:b w:val="0"/>
          <w:bCs w:val="0"/>
          <w:i w:val="0"/>
          <w:iCs w:val="0"/>
          <w:color w:val="auto"/>
          <w:sz w:val="32"/>
          <w:szCs w:val="32"/>
          <w:u w:val="none"/>
          <w:lang w:val="en-US" w:eastAsia="zh-CN"/>
        </w:rPr>
      </w:pPr>
      <w:r>
        <w:rPr>
          <w:rStyle w:val="20"/>
          <w:rFonts w:hint="eastAsia" w:ascii="仿宋_GB2312" w:hAnsi="仿宋_GB2312" w:eastAsia="仿宋_GB2312" w:cs="Times New Roman"/>
          <w:b w:val="0"/>
          <w:bCs w:val="0"/>
          <w:i w:val="0"/>
          <w:iCs w:val="0"/>
          <w:color w:val="auto"/>
          <w:sz w:val="32"/>
          <w:szCs w:val="32"/>
          <w:u w:val="none"/>
          <w:lang w:val="en-US" w:eastAsia="zh-CN"/>
        </w:rPr>
        <w:t>11.北京市</w:t>
      </w:r>
      <w:r>
        <w:rPr>
          <w:rStyle w:val="20"/>
          <w:rFonts w:hint="default" w:ascii="仿宋_GB2312" w:hAnsi="仿宋_GB2312" w:eastAsia="仿宋_GB2312" w:cs="Times New Roman"/>
          <w:b w:val="0"/>
          <w:bCs w:val="0"/>
          <w:i w:val="0"/>
          <w:iCs w:val="0"/>
          <w:color w:val="auto"/>
          <w:sz w:val="32"/>
          <w:szCs w:val="32"/>
          <w:u w:val="none"/>
          <w:lang w:val="en-US" w:eastAsia="zh-CN"/>
        </w:rPr>
        <w:t>《关于新时代深化科技体制改革加快推进全国科技创新中心建设的若干政策措施》</w:t>
      </w:r>
    </w:p>
    <w:p>
      <w:pPr>
        <w:spacing w:line="560" w:lineRule="exact"/>
        <w:ind w:right="-932" w:firstLine="640" w:firstLineChars="200"/>
        <w:rPr>
          <w:rStyle w:val="20"/>
          <w:rFonts w:ascii="仿宋_GB2312" w:hAnsi="仿宋_GB2312" w:eastAsia="仿宋_GB2312"/>
          <w:color w:val="auto"/>
          <w:sz w:val="32"/>
          <w:szCs w:val="32"/>
          <w:u w:val="none"/>
        </w:rPr>
      </w:pPr>
      <w:r>
        <w:rPr>
          <w:rStyle w:val="20"/>
          <w:rFonts w:hint="eastAsia" w:ascii="仿宋_GB2312" w:hAnsi="仿宋_GB2312" w:eastAsia="仿宋_GB2312"/>
          <w:color w:val="auto"/>
          <w:sz w:val="32"/>
          <w:szCs w:val="32"/>
          <w:u w:val="none"/>
          <w:lang w:val="en-US" w:eastAsia="zh-CN"/>
        </w:rPr>
        <w:t>12.</w:t>
      </w:r>
      <w:r>
        <w:rPr>
          <w:rStyle w:val="20"/>
          <w:rFonts w:ascii="仿宋_GB2312" w:hAnsi="仿宋_GB2312" w:eastAsia="仿宋_GB2312"/>
          <w:color w:val="auto"/>
          <w:sz w:val="32"/>
          <w:szCs w:val="32"/>
          <w:u w:val="none"/>
        </w:rPr>
        <w:t>2020-2025年中国新闻出版行业投资分析及“十四五”发展机会研究报告</w:t>
      </w:r>
    </w:p>
    <w:p>
      <w:pPr>
        <w:spacing w:line="560" w:lineRule="exact"/>
        <w:ind w:right="-932"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olor w:val="auto"/>
          <w:sz w:val="32"/>
          <w:szCs w:val="32"/>
          <w:u w:val="none"/>
        </w:rPr>
        <w:t>1</w:t>
      </w:r>
      <w:r>
        <w:rPr>
          <w:rStyle w:val="20"/>
          <w:rFonts w:hint="eastAsia" w:ascii="仿宋_GB2312" w:hAnsi="仿宋_GB2312" w:eastAsia="仿宋_GB2312"/>
          <w:color w:val="auto"/>
          <w:sz w:val="32"/>
          <w:szCs w:val="32"/>
          <w:u w:val="none"/>
          <w:lang w:val="en-US" w:eastAsia="zh-CN"/>
        </w:rPr>
        <w:t>3</w:t>
      </w:r>
      <w:r>
        <w:rPr>
          <w:rStyle w:val="20"/>
          <w:rFonts w:ascii="仿宋_GB2312" w:hAnsi="仿宋_GB2312" w:eastAsia="仿宋_GB2312"/>
          <w:color w:val="auto"/>
          <w:sz w:val="32"/>
          <w:szCs w:val="32"/>
          <w:u w:val="none"/>
        </w:rPr>
        <w:t>.北京印刷学院第三次党代会党委工作报告</w:t>
      </w:r>
    </w:p>
    <w:p>
      <w:pPr>
        <w:spacing w:line="560" w:lineRule="exact"/>
        <w:ind w:right="-932" w:firstLine="640" w:firstLineChars="200"/>
        <w:rPr>
          <w:rStyle w:val="20"/>
          <w:rFonts w:ascii="仿宋_GB2312" w:hAnsi="仿宋_GB2312" w:eastAsia="仿宋_GB2312"/>
          <w:color w:val="auto"/>
          <w:sz w:val="32"/>
          <w:szCs w:val="32"/>
          <w:u w:val="none"/>
        </w:rPr>
      </w:pPr>
      <w:r>
        <w:rPr>
          <w:rStyle w:val="20"/>
          <w:rFonts w:ascii="仿宋_GB2312" w:hAnsi="仿宋_GB2312" w:eastAsia="仿宋_GB2312" w:cs="Times New Roman"/>
          <w:color w:val="auto"/>
          <w:sz w:val="32"/>
          <w:szCs w:val="32"/>
          <w:u w:val="none"/>
        </w:rPr>
        <w:t>1</w:t>
      </w:r>
      <w:r>
        <w:rPr>
          <w:rStyle w:val="20"/>
          <w:rFonts w:hint="eastAsia" w:ascii="仿宋_GB2312" w:hAnsi="仿宋_GB2312" w:eastAsia="仿宋_GB2312" w:cs="Times New Roman"/>
          <w:color w:val="auto"/>
          <w:sz w:val="32"/>
          <w:szCs w:val="32"/>
          <w:u w:val="none"/>
          <w:lang w:val="en-US" w:eastAsia="zh-CN"/>
        </w:rPr>
        <w:t>4</w:t>
      </w:r>
      <w:r>
        <w:rPr>
          <w:rStyle w:val="20"/>
          <w:rFonts w:ascii="仿宋_GB2312" w:hAnsi="仿宋_GB2312" w:eastAsia="仿宋_GB2312" w:cs="Times New Roman"/>
          <w:color w:val="auto"/>
          <w:sz w:val="32"/>
          <w:szCs w:val="32"/>
          <w:u w:val="none"/>
        </w:rPr>
        <w:t>.北</w:t>
      </w:r>
      <w:r>
        <w:rPr>
          <w:rStyle w:val="20"/>
          <w:rFonts w:ascii="仿宋_GB2312" w:hAnsi="仿宋_GB2312" w:eastAsia="仿宋_GB2312"/>
          <w:color w:val="auto"/>
          <w:sz w:val="32"/>
          <w:szCs w:val="32"/>
          <w:u w:val="none"/>
        </w:rPr>
        <w:t>京石油化工学院“十二五”“十三五”事业发展规划</w:t>
      </w:r>
    </w:p>
    <w:p>
      <w:pPr>
        <w:spacing w:line="560" w:lineRule="exact"/>
        <w:ind w:right="-932" w:firstLine="640" w:firstLineChars="200"/>
        <w:rPr>
          <w:rStyle w:val="20"/>
          <w:rFonts w:hint="eastAsia" w:ascii="仿宋_GB2312" w:hAnsi="仿宋_GB2312" w:eastAsia="仿宋_GB2312" w:cs="Times New Roman"/>
          <w:color w:val="auto"/>
          <w:sz w:val="32"/>
          <w:szCs w:val="32"/>
          <w:u w:val="none"/>
        </w:rPr>
      </w:pPr>
      <w:r>
        <w:rPr>
          <w:rStyle w:val="20"/>
          <w:rFonts w:hint="eastAsia" w:ascii="仿宋_GB2312" w:hAnsi="仿宋_GB2312" w:eastAsia="仿宋_GB2312" w:cs="Times New Roman"/>
          <w:color w:val="auto"/>
          <w:sz w:val="32"/>
          <w:szCs w:val="32"/>
          <w:u w:val="none"/>
        </w:rPr>
        <w:t>1</w:t>
      </w:r>
      <w:r>
        <w:rPr>
          <w:rStyle w:val="20"/>
          <w:rFonts w:hint="eastAsia" w:ascii="仿宋_GB2312" w:hAnsi="仿宋_GB2312" w:eastAsia="仿宋_GB2312" w:cs="Times New Roman"/>
          <w:color w:val="auto"/>
          <w:sz w:val="32"/>
          <w:szCs w:val="32"/>
          <w:u w:val="none"/>
          <w:lang w:val="en-US" w:eastAsia="zh-CN"/>
        </w:rPr>
        <w:t>5</w:t>
      </w:r>
      <w:r>
        <w:rPr>
          <w:rStyle w:val="20"/>
          <w:rFonts w:hint="eastAsia" w:ascii="仿宋_GB2312" w:hAnsi="仿宋_GB2312" w:eastAsia="仿宋_GB2312" w:cs="Times New Roman"/>
          <w:color w:val="auto"/>
          <w:sz w:val="32"/>
          <w:szCs w:val="32"/>
          <w:u w:val="none"/>
        </w:rPr>
        <w:t>.武汉大学“十四五”发展规划思路</w:t>
      </w:r>
    </w:p>
    <w:p>
      <w:pPr>
        <w:spacing w:line="560" w:lineRule="exact"/>
        <w:ind w:right="-932" w:firstLine="640" w:firstLineChars="200"/>
        <w:rPr>
          <w:rStyle w:val="20"/>
          <w:rFonts w:ascii="仿宋_GB2312" w:hAnsi="仿宋_GB2312" w:eastAsia="仿宋_GB2312" w:cs="Times New Roman"/>
          <w:color w:val="auto"/>
          <w:sz w:val="32"/>
          <w:szCs w:val="32"/>
          <w:u w:val="none"/>
        </w:rPr>
      </w:pPr>
      <w:r>
        <w:rPr>
          <w:rStyle w:val="20"/>
          <w:rFonts w:hint="eastAsia" w:ascii="仿宋_GB2312" w:hAnsi="仿宋_GB2312" w:eastAsia="仿宋_GB2312" w:cs="Times New Roman"/>
          <w:color w:val="auto"/>
          <w:sz w:val="32"/>
          <w:szCs w:val="32"/>
          <w:u w:val="none"/>
        </w:rPr>
        <w:t>1</w:t>
      </w:r>
      <w:r>
        <w:rPr>
          <w:rStyle w:val="20"/>
          <w:rFonts w:hint="eastAsia" w:ascii="仿宋_GB2312" w:hAnsi="仿宋_GB2312" w:eastAsia="仿宋_GB2312" w:cs="Times New Roman"/>
          <w:color w:val="auto"/>
          <w:sz w:val="32"/>
          <w:szCs w:val="32"/>
          <w:u w:val="none"/>
          <w:lang w:val="en-US" w:eastAsia="zh-CN"/>
        </w:rPr>
        <w:t>6</w:t>
      </w:r>
      <w:r>
        <w:rPr>
          <w:rStyle w:val="20"/>
          <w:rFonts w:hint="eastAsia" w:ascii="仿宋_GB2312" w:hAnsi="仿宋_GB2312" w:eastAsia="仿宋_GB2312" w:cs="Times New Roman"/>
          <w:color w:val="auto"/>
          <w:sz w:val="32"/>
          <w:szCs w:val="32"/>
          <w:u w:val="none"/>
        </w:rPr>
        <w:t>.北京师范大学“十四五”发展规划思路</w:t>
      </w:r>
    </w:p>
    <w:p>
      <w:pPr>
        <w:spacing w:line="560" w:lineRule="exact"/>
        <w:ind w:right="-932" w:firstLine="640" w:firstLineChars="200"/>
        <w:rPr>
          <w:rStyle w:val="20"/>
          <w:rFonts w:ascii="仿宋_GB2312" w:hAnsi="仿宋_GB2312" w:eastAsia="仿宋_GB2312" w:cs="Times New Roman"/>
          <w:color w:val="auto"/>
          <w:sz w:val="32"/>
          <w:szCs w:val="32"/>
          <w:u w:val="none"/>
        </w:rPr>
      </w:pPr>
      <w:r>
        <w:rPr>
          <w:rStyle w:val="20"/>
          <w:rFonts w:hint="eastAsia" w:ascii="仿宋_GB2312" w:hAnsi="仿宋_GB2312" w:eastAsia="仿宋_GB2312" w:cs="Times New Roman"/>
          <w:color w:val="auto"/>
          <w:sz w:val="32"/>
          <w:szCs w:val="32"/>
          <w:u w:val="none"/>
        </w:rPr>
        <w:t>1</w:t>
      </w:r>
      <w:r>
        <w:rPr>
          <w:rStyle w:val="20"/>
          <w:rFonts w:hint="eastAsia" w:ascii="仿宋_GB2312" w:hAnsi="仿宋_GB2312" w:eastAsia="仿宋_GB2312" w:cs="Times New Roman"/>
          <w:color w:val="auto"/>
          <w:sz w:val="32"/>
          <w:szCs w:val="32"/>
          <w:u w:val="none"/>
          <w:lang w:val="en-US" w:eastAsia="zh-CN"/>
        </w:rPr>
        <w:t>7</w:t>
      </w:r>
      <w:r>
        <w:rPr>
          <w:rStyle w:val="20"/>
          <w:rFonts w:hint="eastAsia" w:ascii="仿宋_GB2312" w:hAnsi="仿宋_GB2312" w:eastAsia="仿宋_GB2312" w:cs="Times New Roman"/>
          <w:color w:val="auto"/>
          <w:sz w:val="32"/>
          <w:szCs w:val="32"/>
          <w:u w:val="none"/>
        </w:rPr>
        <w:t>.厦门大学“十四五”发展规划思路</w:t>
      </w:r>
    </w:p>
    <w:p>
      <w:pPr>
        <w:spacing w:line="560" w:lineRule="exact"/>
        <w:ind w:firstLine="640" w:firstLineChars="200"/>
        <w:rPr>
          <w:rFonts w:ascii="黑体" w:hAnsi="黑体" w:eastAsia="黑体" w:cs="黑体"/>
          <w:color w:val="auto"/>
          <w:sz w:val="40"/>
          <w:szCs w:val="40"/>
          <w:u w:val="none"/>
        </w:rPr>
      </w:pPr>
      <w:r>
        <w:rPr>
          <w:rStyle w:val="20"/>
          <w:rFonts w:hint="eastAsia" w:ascii="仿宋_GB2312" w:hAnsi="仿宋_GB2312" w:eastAsia="仿宋_GB2312"/>
          <w:color w:val="auto"/>
          <w:sz w:val="32"/>
          <w:szCs w:val="32"/>
          <w:u w:val="none"/>
        </w:rPr>
        <w:t>1</w:t>
      </w:r>
      <w:r>
        <w:rPr>
          <w:rStyle w:val="20"/>
          <w:rFonts w:hint="eastAsia" w:ascii="仿宋_GB2312" w:hAnsi="仿宋_GB2312" w:eastAsia="仿宋_GB2312"/>
          <w:color w:val="auto"/>
          <w:sz w:val="32"/>
          <w:szCs w:val="32"/>
          <w:u w:val="none"/>
          <w:lang w:val="en-US" w:eastAsia="zh-CN"/>
        </w:rPr>
        <w:t>8</w:t>
      </w:r>
      <w:r>
        <w:rPr>
          <w:rStyle w:val="20"/>
          <w:rFonts w:hint="eastAsia" w:ascii="仿宋_GB2312" w:hAnsi="仿宋_GB2312" w:eastAsia="仿宋_GB2312"/>
          <w:color w:val="auto"/>
          <w:sz w:val="32"/>
          <w:szCs w:val="32"/>
          <w:u w:val="none"/>
        </w:rPr>
        <w:t>.</w:t>
      </w:r>
      <w:r>
        <w:rPr>
          <w:rStyle w:val="20"/>
          <w:rFonts w:ascii="仿宋_GB2312" w:hAnsi="仿宋_GB2312" w:eastAsia="仿宋_GB2312"/>
          <w:color w:val="auto"/>
          <w:sz w:val="32"/>
          <w:szCs w:val="32"/>
          <w:u w:val="none"/>
        </w:rPr>
        <w:t>我国“十四五”教育规划相关论文</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20"/>
      </w:rPr>
    </w:pPr>
  </w:p>
  <w:p>
    <w:pPr>
      <w:pStyle w:val="4"/>
      <w:rPr>
        <w:rStyle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Style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38</w:t>
                    </w:r>
                    <w:r>
                      <w:fldChar w:fldCharType="end"/>
                    </w:r>
                  </w:p>
                </w:txbxContent>
              </v:textbox>
            </v:shape>
          </w:pict>
        </mc:Fallback>
      </mc:AlternateContent>
    </w:r>
  </w:p>
  <w:p>
    <w:pPr>
      <w:pStyle w:val="4"/>
      <w:rPr>
        <w:rStyle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footnotePr>
    <w:footnote w:id="0"/>
    <w:footnote w:id="1"/>
  </w:footnotePr>
  <w:endnotePr>
    <w:endnote w:id="0"/>
    <w:endnote w:id="1"/>
  </w:endnotePr>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F3"/>
    <w:rsid w:val="00041812"/>
    <w:rsid w:val="0017480A"/>
    <w:rsid w:val="002E370B"/>
    <w:rsid w:val="003732C3"/>
    <w:rsid w:val="00415146"/>
    <w:rsid w:val="00426677"/>
    <w:rsid w:val="00517B12"/>
    <w:rsid w:val="00550E38"/>
    <w:rsid w:val="0090446D"/>
    <w:rsid w:val="00970D02"/>
    <w:rsid w:val="00B41D77"/>
    <w:rsid w:val="00D333F3"/>
    <w:rsid w:val="00ED0C50"/>
    <w:rsid w:val="00FB7040"/>
    <w:rsid w:val="018C698F"/>
    <w:rsid w:val="01C55624"/>
    <w:rsid w:val="03D63518"/>
    <w:rsid w:val="040B4F58"/>
    <w:rsid w:val="04C330F7"/>
    <w:rsid w:val="04CB73D0"/>
    <w:rsid w:val="053F10F7"/>
    <w:rsid w:val="05A50045"/>
    <w:rsid w:val="05D1370C"/>
    <w:rsid w:val="05F729BC"/>
    <w:rsid w:val="06673893"/>
    <w:rsid w:val="06CB3694"/>
    <w:rsid w:val="06EF3921"/>
    <w:rsid w:val="07196D28"/>
    <w:rsid w:val="07D338AA"/>
    <w:rsid w:val="07E37DDF"/>
    <w:rsid w:val="08374905"/>
    <w:rsid w:val="0853232B"/>
    <w:rsid w:val="09137736"/>
    <w:rsid w:val="097E7F7A"/>
    <w:rsid w:val="09A90592"/>
    <w:rsid w:val="09DD4241"/>
    <w:rsid w:val="0A5139E6"/>
    <w:rsid w:val="0A846759"/>
    <w:rsid w:val="0A954AA8"/>
    <w:rsid w:val="0AA7673E"/>
    <w:rsid w:val="0AB056D5"/>
    <w:rsid w:val="0AC43DF4"/>
    <w:rsid w:val="0ADA5227"/>
    <w:rsid w:val="0B385629"/>
    <w:rsid w:val="0BAE2BA3"/>
    <w:rsid w:val="0C52070C"/>
    <w:rsid w:val="0C947FEB"/>
    <w:rsid w:val="0CC421A5"/>
    <w:rsid w:val="0D1A0BB7"/>
    <w:rsid w:val="0D2561CC"/>
    <w:rsid w:val="0DB839B9"/>
    <w:rsid w:val="0DF3219B"/>
    <w:rsid w:val="0FD768B4"/>
    <w:rsid w:val="0FEC041E"/>
    <w:rsid w:val="103025D6"/>
    <w:rsid w:val="10933CCC"/>
    <w:rsid w:val="10CD0ECE"/>
    <w:rsid w:val="112D091D"/>
    <w:rsid w:val="11422A81"/>
    <w:rsid w:val="118E7F8E"/>
    <w:rsid w:val="11C537F5"/>
    <w:rsid w:val="12253772"/>
    <w:rsid w:val="12672402"/>
    <w:rsid w:val="12A401F4"/>
    <w:rsid w:val="12E43D03"/>
    <w:rsid w:val="13BA1D5A"/>
    <w:rsid w:val="13C54D4A"/>
    <w:rsid w:val="145C5330"/>
    <w:rsid w:val="14E9314E"/>
    <w:rsid w:val="151D065E"/>
    <w:rsid w:val="152B3571"/>
    <w:rsid w:val="15991AAE"/>
    <w:rsid w:val="16E66B28"/>
    <w:rsid w:val="1706367F"/>
    <w:rsid w:val="170C51C0"/>
    <w:rsid w:val="1715212D"/>
    <w:rsid w:val="178A6A9E"/>
    <w:rsid w:val="180F1A9E"/>
    <w:rsid w:val="181C393F"/>
    <w:rsid w:val="18F408ED"/>
    <w:rsid w:val="19720589"/>
    <w:rsid w:val="19A0760C"/>
    <w:rsid w:val="1B326EF6"/>
    <w:rsid w:val="1C331CC4"/>
    <w:rsid w:val="1C4123AF"/>
    <w:rsid w:val="1C6100A8"/>
    <w:rsid w:val="1CFB0128"/>
    <w:rsid w:val="1DB123E9"/>
    <w:rsid w:val="1E0434B5"/>
    <w:rsid w:val="1E8D0C5F"/>
    <w:rsid w:val="1E950D45"/>
    <w:rsid w:val="1EC6190D"/>
    <w:rsid w:val="1F745C95"/>
    <w:rsid w:val="206E3AF3"/>
    <w:rsid w:val="20705A73"/>
    <w:rsid w:val="214B58E8"/>
    <w:rsid w:val="21A6055E"/>
    <w:rsid w:val="21FB42E4"/>
    <w:rsid w:val="22355BA4"/>
    <w:rsid w:val="22963F8E"/>
    <w:rsid w:val="22BA6372"/>
    <w:rsid w:val="23354EAE"/>
    <w:rsid w:val="235F5122"/>
    <w:rsid w:val="23CC5486"/>
    <w:rsid w:val="24517694"/>
    <w:rsid w:val="24E506AC"/>
    <w:rsid w:val="250A5AC6"/>
    <w:rsid w:val="25287133"/>
    <w:rsid w:val="2588604C"/>
    <w:rsid w:val="25A95F10"/>
    <w:rsid w:val="25FD7D1E"/>
    <w:rsid w:val="2600371B"/>
    <w:rsid w:val="26781AA3"/>
    <w:rsid w:val="26CD3F12"/>
    <w:rsid w:val="26DF3C97"/>
    <w:rsid w:val="287C1ACD"/>
    <w:rsid w:val="28EA127C"/>
    <w:rsid w:val="2A651349"/>
    <w:rsid w:val="2A7A7E77"/>
    <w:rsid w:val="2AF7708C"/>
    <w:rsid w:val="2B8C3AC6"/>
    <w:rsid w:val="2CAE109C"/>
    <w:rsid w:val="2DCA3567"/>
    <w:rsid w:val="2E5548C9"/>
    <w:rsid w:val="2F490D5E"/>
    <w:rsid w:val="2F5D3223"/>
    <w:rsid w:val="2F674DFD"/>
    <w:rsid w:val="2F6F4AE0"/>
    <w:rsid w:val="302D006E"/>
    <w:rsid w:val="309A71A9"/>
    <w:rsid w:val="30EB4221"/>
    <w:rsid w:val="30FC583C"/>
    <w:rsid w:val="321D7176"/>
    <w:rsid w:val="323C7234"/>
    <w:rsid w:val="327652F6"/>
    <w:rsid w:val="329645B4"/>
    <w:rsid w:val="32F94886"/>
    <w:rsid w:val="330D355F"/>
    <w:rsid w:val="33CC5AC0"/>
    <w:rsid w:val="33D46F8A"/>
    <w:rsid w:val="33F118C4"/>
    <w:rsid w:val="344C7532"/>
    <w:rsid w:val="351D0F36"/>
    <w:rsid w:val="368C5A11"/>
    <w:rsid w:val="36B11F7A"/>
    <w:rsid w:val="36EF6559"/>
    <w:rsid w:val="37504ADA"/>
    <w:rsid w:val="38665E7E"/>
    <w:rsid w:val="38A15B73"/>
    <w:rsid w:val="38E74CE1"/>
    <w:rsid w:val="397A44FB"/>
    <w:rsid w:val="3A156B8D"/>
    <w:rsid w:val="3A530C79"/>
    <w:rsid w:val="3C1F75DA"/>
    <w:rsid w:val="3C546426"/>
    <w:rsid w:val="3C7A2DBC"/>
    <w:rsid w:val="3C9A559B"/>
    <w:rsid w:val="3D3D0093"/>
    <w:rsid w:val="3DB32E60"/>
    <w:rsid w:val="3DE22D84"/>
    <w:rsid w:val="3DE54509"/>
    <w:rsid w:val="3F1A385C"/>
    <w:rsid w:val="3F222C3A"/>
    <w:rsid w:val="3F527139"/>
    <w:rsid w:val="3F6D4FC8"/>
    <w:rsid w:val="41486220"/>
    <w:rsid w:val="41507050"/>
    <w:rsid w:val="41A559EB"/>
    <w:rsid w:val="424B4D36"/>
    <w:rsid w:val="42AA3755"/>
    <w:rsid w:val="430B3842"/>
    <w:rsid w:val="43976F05"/>
    <w:rsid w:val="43A574C3"/>
    <w:rsid w:val="450A6776"/>
    <w:rsid w:val="45625569"/>
    <w:rsid w:val="460D1BDF"/>
    <w:rsid w:val="465973DE"/>
    <w:rsid w:val="477944F3"/>
    <w:rsid w:val="47B76F41"/>
    <w:rsid w:val="4860380B"/>
    <w:rsid w:val="4876407E"/>
    <w:rsid w:val="48936CB0"/>
    <w:rsid w:val="489D2BAD"/>
    <w:rsid w:val="48A221C9"/>
    <w:rsid w:val="491E5C5C"/>
    <w:rsid w:val="49DD7771"/>
    <w:rsid w:val="4A4946C8"/>
    <w:rsid w:val="4A9B72CF"/>
    <w:rsid w:val="4BA072A8"/>
    <w:rsid w:val="4BC020EC"/>
    <w:rsid w:val="4BE72E9A"/>
    <w:rsid w:val="4C180FA4"/>
    <w:rsid w:val="4D0F4538"/>
    <w:rsid w:val="4D5C0153"/>
    <w:rsid w:val="4DEB00AF"/>
    <w:rsid w:val="4E2E2E05"/>
    <w:rsid w:val="4FB641C7"/>
    <w:rsid w:val="4FCB029E"/>
    <w:rsid w:val="51326707"/>
    <w:rsid w:val="514B29A3"/>
    <w:rsid w:val="515B6936"/>
    <w:rsid w:val="52162BF7"/>
    <w:rsid w:val="52705B2C"/>
    <w:rsid w:val="54302061"/>
    <w:rsid w:val="54671C32"/>
    <w:rsid w:val="54F73C1E"/>
    <w:rsid w:val="55490F55"/>
    <w:rsid w:val="567F0B9C"/>
    <w:rsid w:val="56B76834"/>
    <w:rsid w:val="57E42BD5"/>
    <w:rsid w:val="58B11D1F"/>
    <w:rsid w:val="58FD1C78"/>
    <w:rsid w:val="591A6BA9"/>
    <w:rsid w:val="594B0929"/>
    <w:rsid w:val="594B747B"/>
    <w:rsid w:val="59AF574A"/>
    <w:rsid w:val="5A2F030A"/>
    <w:rsid w:val="5A5B1E22"/>
    <w:rsid w:val="5A605BBF"/>
    <w:rsid w:val="5AEF786F"/>
    <w:rsid w:val="5AF71840"/>
    <w:rsid w:val="5BAC4EAA"/>
    <w:rsid w:val="5C734A6F"/>
    <w:rsid w:val="5C80140E"/>
    <w:rsid w:val="5CB66A7A"/>
    <w:rsid w:val="5DCE2BDD"/>
    <w:rsid w:val="60EB7C2E"/>
    <w:rsid w:val="61A12D71"/>
    <w:rsid w:val="61C67EBD"/>
    <w:rsid w:val="61F15F0A"/>
    <w:rsid w:val="6388714C"/>
    <w:rsid w:val="64853E4A"/>
    <w:rsid w:val="64D46A34"/>
    <w:rsid w:val="650B468C"/>
    <w:rsid w:val="659F459C"/>
    <w:rsid w:val="67736F39"/>
    <w:rsid w:val="677B67FE"/>
    <w:rsid w:val="679636C8"/>
    <w:rsid w:val="67C37913"/>
    <w:rsid w:val="686524CF"/>
    <w:rsid w:val="68E479A6"/>
    <w:rsid w:val="6A20070E"/>
    <w:rsid w:val="6A425AD7"/>
    <w:rsid w:val="6AD63719"/>
    <w:rsid w:val="6B012DC7"/>
    <w:rsid w:val="6B0C0DA5"/>
    <w:rsid w:val="6B914A41"/>
    <w:rsid w:val="6BAE5DDC"/>
    <w:rsid w:val="6C2D49B8"/>
    <w:rsid w:val="6C6D1032"/>
    <w:rsid w:val="6C74678D"/>
    <w:rsid w:val="6D430C65"/>
    <w:rsid w:val="6DB7425B"/>
    <w:rsid w:val="6E4261C2"/>
    <w:rsid w:val="6E476764"/>
    <w:rsid w:val="6EED40BF"/>
    <w:rsid w:val="6F357D09"/>
    <w:rsid w:val="6F9B5E81"/>
    <w:rsid w:val="6FA56A20"/>
    <w:rsid w:val="6FB51137"/>
    <w:rsid w:val="6FDC0D2C"/>
    <w:rsid w:val="70C850BB"/>
    <w:rsid w:val="70F10A79"/>
    <w:rsid w:val="714F459A"/>
    <w:rsid w:val="721709CE"/>
    <w:rsid w:val="722A45CF"/>
    <w:rsid w:val="72767EA9"/>
    <w:rsid w:val="72787CED"/>
    <w:rsid w:val="72996EEA"/>
    <w:rsid w:val="729B5BBA"/>
    <w:rsid w:val="72FB1163"/>
    <w:rsid w:val="732C028B"/>
    <w:rsid w:val="73872C1E"/>
    <w:rsid w:val="740D41EE"/>
    <w:rsid w:val="743F505A"/>
    <w:rsid w:val="745867FE"/>
    <w:rsid w:val="75896F5B"/>
    <w:rsid w:val="768D24E1"/>
    <w:rsid w:val="777978A8"/>
    <w:rsid w:val="77C8221D"/>
    <w:rsid w:val="780C7713"/>
    <w:rsid w:val="790100F7"/>
    <w:rsid w:val="7908241D"/>
    <w:rsid w:val="79086F89"/>
    <w:rsid w:val="79401D14"/>
    <w:rsid w:val="79E64176"/>
    <w:rsid w:val="7A492197"/>
    <w:rsid w:val="7B1F0587"/>
    <w:rsid w:val="7B656B4D"/>
    <w:rsid w:val="7B6A6980"/>
    <w:rsid w:val="7B813726"/>
    <w:rsid w:val="7CF71113"/>
    <w:rsid w:val="7D1D0153"/>
    <w:rsid w:val="7D763EFA"/>
    <w:rsid w:val="7DD209BE"/>
    <w:rsid w:val="7DFD1E8A"/>
    <w:rsid w:val="7E0F0979"/>
    <w:rsid w:val="7E677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textAlignment w:val="baseline"/>
    </w:pPr>
    <w:rPr>
      <w:rFonts w:ascii="Calibri" w:hAnsi="Calibri" w:eastAsia="宋体" w:cstheme="minorBidi"/>
      <w:kern w:val="2"/>
      <w:sz w:val="28"/>
      <w:szCs w:val="28"/>
      <w:lang w:val="en-US" w:eastAsia="zh-CN" w:bidi="ar-SA"/>
    </w:rPr>
  </w:style>
  <w:style w:type="paragraph" w:styleId="2">
    <w:name w:val="heading 1"/>
    <w:basedOn w:val="1"/>
    <w:next w:val="1"/>
    <w:link w:val="6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22"/>
    <w:qFormat/>
    <w:uiPriority w:val="0"/>
    <w:pPr>
      <w:tabs>
        <w:tab w:val="center" w:pos="4153"/>
        <w:tab w:val="right" w:pos="8306"/>
      </w:tabs>
      <w:snapToGrid w:val="0"/>
    </w:pPr>
    <w:rPr>
      <w:kern w:val="0"/>
      <w:sz w:val="18"/>
      <w:szCs w:val="18"/>
    </w:rPr>
  </w:style>
  <w:style w:type="paragraph" w:styleId="5">
    <w:name w:val="header"/>
    <w:basedOn w:val="1"/>
    <w:link w:val="25"/>
    <w:semiHidden/>
    <w:qFormat/>
    <w:uiPriority w:val="0"/>
    <w:pPr>
      <w:pBdr>
        <w:bottom w:val="single" w:color="000000" w:sz="6" w:space="1"/>
      </w:pBdr>
      <w:tabs>
        <w:tab w:val="center" w:pos="4153"/>
        <w:tab w:val="right" w:pos="8306"/>
      </w:tabs>
      <w:snapToGrid w:val="0"/>
      <w:jc w:val="center"/>
    </w:pPr>
    <w:rPr>
      <w:kern w:val="0"/>
      <w:sz w:val="18"/>
      <w:szCs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Title"/>
    <w:basedOn w:val="1"/>
    <w:next w:val="1"/>
    <w:link w:val="34"/>
    <w:qFormat/>
    <w:uiPriority w:val="0"/>
    <w:pPr>
      <w:spacing w:before="240" w:after="60"/>
      <w:jc w:val="center"/>
    </w:pPr>
    <w:rPr>
      <w:rFonts w:ascii="Cambria" w:hAnsi="Cambria" w:cs="Times New Roman"/>
      <w:b/>
      <w:bCs/>
      <w:kern w:val="0"/>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rFonts w:cs="Times New Roman"/>
      <w:b/>
      <w:bCs/>
    </w:rPr>
  </w:style>
  <w:style w:type="character" w:styleId="13">
    <w:name w:val="FollowedHyperlink"/>
    <w:qFormat/>
    <w:uiPriority w:val="0"/>
    <w:rPr>
      <w:color w:val="333333"/>
      <w:sz w:val="18"/>
      <w:szCs w:val="18"/>
    </w:rPr>
  </w:style>
  <w:style w:type="character" w:styleId="14">
    <w:name w:val="Emphasis"/>
    <w:qFormat/>
    <w:uiPriority w:val="0"/>
    <w:rPr>
      <w:color w:val="000000"/>
    </w:rPr>
  </w:style>
  <w:style w:type="character" w:styleId="15">
    <w:name w:val="Hyperlink"/>
    <w:qFormat/>
    <w:uiPriority w:val="0"/>
    <w:rPr>
      <w:color w:val="333333"/>
      <w:sz w:val="18"/>
      <w:szCs w:val="18"/>
    </w:rPr>
  </w:style>
  <w:style w:type="paragraph" w:customStyle="1" w:styleId="16">
    <w:name w:val="Heading1"/>
    <w:basedOn w:val="1"/>
    <w:next w:val="1"/>
    <w:link w:val="33"/>
    <w:qFormat/>
    <w:uiPriority w:val="0"/>
    <w:pPr>
      <w:keepNext/>
      <w:keepLines/>
      <w:spacing w:before="600" w:after="1000" w:line="578" w:lineRule="auto"/>
    </w:pPr>
    <w:rPr>
      <w:rFonts w:cs="Times New Roman"/>
      <w:b/>
      <w:bCs/>
      <w:kern w:val="44"/>
      <w:sz w:val="44"/>
      <w:szCs w:val="44"/>
    </w:rPr>
  </w:style>
  <w:style w:type="paragraph" w:customStyle="1" w:styleId="17">
    <w:name w:val="Heading2"/>
    <w:basedOn w:val="1"/>
    <w:next w:val="1"/>
    <w:link w:val="31"/>
    <w:qFormat/>
    <w:uiPriority w:val="0"/>
    <w:pPr>
      <w:keepNext/>
      <w:keepLines/>
      <w:spacing w:before="260" w:after="260" w:line="416" w:lineRule="auto"/>
    </w:pPr>
    <w:rPr>
      <w:rFonts w:ascii="Cambria" w:hAnsi="Cambria" w:cs="Times New Roman"/>
      <w:b/>
      <w:bCs/>
      <w:kern w:val="0"/>
      <w:sz w:val="32"/>
      <w:szCs w:val="32"/>
    </w:rPr>
  </w:style>
  <w:style w:type="paragraph" w:customStyle="1" w:styleId="18">
    <w:name w:val="Heading3"/>
    <w:basedOn w:val="1"/>
    <w:next w:val="1"/>
    <w:link w:val="27"/>
    <w:qFormat/>
    <w:uiPriority w:val="0"/>
    <w:pPr>
      <w:keepNext/>
      <w:keepLines/>
      <w:spacing w:before="260" w:after="260" w:line="416" w:lineRule="auto"/>
    </w:pPr>
    <w:rPr>
      <w:rFonts w:cs="Times New Roman"/>
      <w:b/>
      <w:bCs/>
      <w:kern w:val="0"/>
      <w:sz w:val="32"/>
      <w:szCs w:val="32"/>
    </w:rPr>
  </w:style>
  <w:style w:type="paragraph" w:customStyle="1" w:styleId="19">
    <w:name w:val="Heading4"/>
    <w:basedOn w:val="1"/>
    <w:next w:val="1"/>
    <w:link w:val="32"/>
    <w:qFormat/>
    <w:uiPriority w:val="0"/>
    <w:pPr>
      <w:keepNext/>
      <w:keepLines/>
      <w:spacing w:before="280" w:after="290" w:line="376" w:lineRule="auto"/>
    </w:pPr>
    <w:rPr>
      <w:rFonts w:ascii="Cambria" w:hAnsi="Cambria" w:cs="Times New Roman"/>
      <w:b/>
      <w:bCs/>
      <w:kern w:val="0"/>
    </w:rPr>
  </w:style>
  <w:style w:type="character" w:customStyle="1" w:styleId="20">
    <w:name w:val="NormalCharacter"/>
    <w:semiHidden/>
    <w:qFormat/>
    <w:uiPriority w:val="0"/>
  </w:style>
  <w:style w:type="table" w:customStyle="1" w:styleId="21">
    <w:name w:val="TableNormal"/>
    <w:qFormat/>
    <w:uiPriority w:val="0"/>
    <w:tblPr>
      <w:tblCellMar>
        <w:top w:w="0" w:type="dxa"/>
        <w:left w:w="0" w:type="dxa"/>
        <w:bottom w:w="0" w:type="dxa"/>
        <w:right w:w="0" w:type="dxa"/>
      </w:tblCellMar>
    </w:tblPr>
  </w:style>
  <w:style w:type="character" w:customStyle="1" w:styleId="22">
    <w:name w:val="页脚 Char"/>
    <w:link w:val="4"/>
    <w:qFormat/>
    <w:locked/>
    <w:uiPriority w:val="0"/>
    <w:rPr>
      <w:sz w:val="18"/>
      <w:szCs w:val="18"/>
    </w:rPr>
  </w:style>
  <w:style w:type="character" w:customStyle="1" w:styleId="23">
    <w:name w:val="UserStyle_1"/>
    <w:link w:val="24"/>
    <w:qFormat/>
    <w:locked/>
    <w:uiPriority w:val="0"/>
    <w:rPr>
      <w:rFonts w:ascii="Calibri" w:hAnsi="Calibri" w:eastAsia="宋体"/>
      <w:sz w:val="21"/>
      <w:szCs w:val="21"/>
    </w:rPr>
  </w:style>
  <w:style w:type="paragraph" w:customStyle="1" w:styleId="24">
    <w:name w:val="BodyTextIndent"/>
    <w:basedOn w:val="1"/>
    <w:link w:val="23"/>
    <w:qFormat/>
    <w:uiPriority w:val="0"/>
    <w:pPr>
      <w:spacing w:after="120" w:line="240" w:lineRule="auto"/>
      <w:ind w:left="420" w:leftChars="200"/>
      <w:jc w:val="both"/>
    </w:pPr>
    <w:rPr>
      <w:kern w:val="0"/>
      <w:sz w:val="21"/>
      <w:szCs w:val="21"/>
    </w:rPr>
  </w:style>
  <w:style w:type="character" w:customStyle="1" w:styleId="25">
    <w:name w:val="页眉 Char"/>
    <w:link w:val="5"/>
    <w:semiHidden/>
    <w:qFormat/>
    <w:locked/>
    <w:uiPriority w:val="0"/>
    <w:rPr>
      <w:sz w:val="18"/>
      <w:szCs w:val="18"/>
    </w:rPr>
  </w:style>
  <w:style w:type="character" w:customStyle="1" w:styleId="26">
    <w:name w:val="UserStyle_3"/>
    <w:qFormat/>
    <w:uiPriority w:val="0"/>
    <w:rPr>
      <w:rFonts w:ascii="黑体" w:hAnsi="黑体" w:eastAsia="黑体" w:cs="黑体"/>
      <w:b/>
      <w:bCs/>
      <w:sz w:val="28"/>
      <w:szCs w:val="28"/>
    </w:rPr>
  </w:style>
  <w:style w:type="character" w:customStyle="1" w:styleId="27">
    <w:name w:val="UserStyle_4"/>
    <w:link w:val="18"/>
    <w:qFormat/>
    <w:locked/>
    <w:uiPriority w:val="0"/>
    <w:rPr>
      <w:rFonts w:cs="Times New Roman"/>
      <w:b/>
      <w:bCs/>
      <w:sz w:val="32"/>
      <w:szCs w:val="32"/>
    </w:rPr>
  </w:style>
  <w:style w:type="character" w:customStyle="1" w:styleId="28">
    <w:name w:val="UserStyle_5"/>
    <w:link w:val="29"/>
    <w:qFormat/>
    <w:locked/>
    <w:uiPriority w:val="0"/>
    <w:rPr>
      <w:rFonts w:ascii="仿宋_GB2312" w:hAnsi="Times New Roman" w:eastAsia="仿宋_GB2312"/>
      <w:sz w:val="24"/>
      <w:szCs w:val="24"/>
    </w:rPr>
  </w:style>
  <w:style w:type="paragraph" w:customStyle="1" w:styleId="29">
    <w:name w:val="BodyText"/>
    <w:basedOn w:val="1"/>
    <w:link w:val="28"/>
    <w:qFormat/>
    <w:uiPriority w:val="0"/>
    <w:pPr>
      <w:spacing w:line="240" w:lineRule="auto"/>
      <w:jc w:val="both"/>
    </w:pPr>
    <w:rPr>
      <w:rFonts w:ascii="仿宋_GB2312" w:eastAsia="仿宋_GB2312"/>
      <w:kern w:val="0"/>
      <w:sz w:val="24"/>
      <w:szCs w:val="24"/>
    </w:rPr>
  </w:style>
  <w:style w:type="character" w:customStyle="1" w:styleId="30">
    <w:name w:val="AnnotationReference"/>
    <w:semiHidden/>
    <w:qFormat/>
    <w:uiPriority w:val="0"/>
    <w:rPr>
      <w:sz w:val="21"/>
      <w:szCs w:val="21"/>
    </w:rPr>
  </w:style>
  <w:style w:type="character" w:customStyle="1" w:styleId="31">
    <w:name w:val="UserStyle_6"/>
    <w:link w:val="17"/>
    <w:qFormat/>
    <w:locked/>
    <w:uiPriority w:val="0"/>
    <w:rPr>
      <w:rFonts w:ascii="Cambria" w:hAnsi="Cambria" w:eastAsia="宋体" w:cs="Cambria"/>
      <w:b/>
      <w:bCs/>
      <w:sz w:val="32"/>
      <w:szCs w:val="32"/>
    </w:rPr>
  </w:style>
  <w:style w:type="character" w:customStyle="1" w:styleId="32">
    <w:name w:val="UserStyle_7"/>
    <w:link w:val="19"/>
    <w:qFormat/>
    <w:locked/>
    <w:uiPriority w:val="0"/>
    <w:rPr>
      <w:rFonts w:ascii="Cambria" w:hAnsi="Cambria" w:eastAsia="宋体" w:cs="Cambria"/>
      <w:b/>
      <w:bCs/>
      <w:sz w:val="28"/>
      <w:szCs w:val="28"/>
    </w:rPr>
  </w:style>
  <w:style w:type="character" w:customStyle="1" w:styleId="33">
    <w:name w:val="UserStyle_8"/>
    <w:link w:val="16"/>
    <w:qFormat/>
    <w:locked/>
    <w:uiPriority w:val="0"/>
    <w:rPr>
      <w:rFonts w:ascii="Times New Roman" w:hAnsi="Times New Roman" w:eastAsia="宋体" w:cs="Times New Roman"/>
      <w:b/>
      <w:bCs/>
      <w:kern w:val="44"/>
      <w:sz w:val="44"/>
      <w:szCs w:val="44"/>
    </w:rPr>
  </w:style>
  <w:style w:type="character" w:customStyle="1" w:styleId="34">
    <w:name w:val="标题 Char"/>
    <w:link w:val="8"/>
    <w:qFormat/>
    <w:locked/>
    <w:uiPriority w:val="0"/>
    <w:rPr>
      <w:rFonts w:ascii="Cambria" w:hAnsi="Cambria" w:eastAsia="宋体" w:cs="Cambria"/>
      <w:b/>
      <w:bCs/>
      <w:sz w:val="32"/>
      <w:szCs w:val="32"/>
    </w:rPr>
  </w:style>
  <w:style w:type="character" w:customStyle="1" w:styleId="35">
    <w:name w:val="UserStyle_10"/>
    <w:link w:val="36"/>
    <w:semiHidden/>
    <w:qFormat/>
    <w:locked/>
    <w:uiPriority w:val="0"/>
    <w:rPr>
      <w:sz w:val="18"/>
      <w:szCs w:val="18"/>
    </w:rPr>
  </w:style>
  <w:style w:type="paragraph" w:customStyle="1" w:styleId="36">
    <w:name w:val="Acetate"/>
    <w:basedOn w:val="1"/>
    <w:link w:val="35"/>
    <w:semiHidden/>
    <w:qFormat/>
    <w:uiPriority w:val="0"/>
    <w:rPr>
      <w:kern w:val="0"/>
      <w:sz w:val="18"/>
      <w:szCs w:val="18"/>
    </w:rPr>
  </w:style>
  <w:style w:type="character" w:customStyle="1" w:styleId="37">
    <w:name w:val="UserStyle_11"/>
    <w:basedOn w:val="20"/>
    <w:qFormat/>
    <w:uiPriority w:val="0"/>
  </w:style>
  <w:style w:type="character" w:customStyle="1" w:styleId="38">
    <w:name w:val="UserStyle_12"/>
    <w:link w:val="39"/>
    <w:semiHidden/>
    <w:qFormat/>
    <w:uiPriority w:val="0"/>
    <w:rPr>
      <w:rFonts w:ascii="宋体" w:hAnsi="宋体"/>
      <w:sz w:val="24"/>
      <w:szCs w:val="24"/>
    </w:rPr>
  </w:style>
  <w:style w:type="paragraph" w:customStyle="1" w:styleId="39">
    <w:name w:val="HtmlPre"/>
    <w:basedOn w:val="1"/>
    <w:link w:val="3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kern w:val="0"/>
      <w:sz w:val="24"/>
      <w:szCs w:val="24"/>
    </w:rPr>
  </w:style>
  <w:style w:type="character" w:customStyle="1" w:styleId="40">
    <w:name w:val="UserStyle_13"/>
    <w:link w:val="41"/>
    <w:semiHidden/>
    <w:qFormat/>
    <w:locked/>
    <w:uiPriority w:val="0"/>
    <w:rPr>
      <w:sz w:val="24"/>
      <w:szCs w:val="24"/>
    </w:rPr>
  </w:style>
  <w:style w:type="paragraph" w:customStyle="1" w:styleId="41">
    <w:name w:val="AnnotationText"/>
    <w:basedOn w:val="1"/>
    <w:link w:val="40"/>
    <w:semiHidden/>
    <w:qFormat/>
    <w:uiPriority w:val="0"/>
    <w:rPr>
      <w:kern w:val="0"/>
      <w:sz w:val="24"/>
      <w:szCs w:val="24"/>
    </w:rPr>
  </w:style>
  <w:style w:type="character" w:customStyle="1" w:styleId="42">
    <w:name w:val="UserStyle_14"/>
    <w:link w:val="43"/>
    <w:semiHidden/>
    <w:qFormat/>
    <w:locked/>
    <w:uiPriority w:val="0"/>
    <w:rPr>
      <w:rFonts w:ascii="宋体" w:eastAsia="宋体"/>
      <w:sz w:val="18"/>
      <w:szCs w:val="18"/>
    </w:rPr>
  </w:style>
  <w:style w:type="paragraph" w:customStyle="1" w:styleId="43">
    <w:name w:val="NavPane"/>
    <w:basedOn w:val="1"/>
    <w:link w:val="42"/>
    <w:semiHidden/>
    <w:qFormat/>
    <w:uiPriority w:val="0"/>
    <w:rPr>
      <w:rFonts w:ascii="宋体"/>
      <w:kern w:val="0"/>
      <w:sz w:val="18"/>
      <w:szCs w:val="18"/>
    </w:rPr>
  </w:style>
  <w:style w:type="character" w:customStyle="1" w:styleId="44">
    <w:name w:val="UserStyle_15"/>
    <w:basedOn w:val="20"/>
    <w:qFormat/>
    <w:uiPriority w:val="0"/>
  </w:style>
  <w:style w:type="character" w:customStyle="1" w:styleId="45">
    <w:name w:val="UserStyle_16"/>
    <w:link w:val="46"/>
    <w:qFormat/>
    <w:locked/>
    <w:uiPriority w:val="0"/>
    <w:rPr>
      <w:rFonts w:ascii="宋体" w:hAnsi="宋体" w:eastAsia="宋体"/>
      <w:kern w:val="0"/>
      <w:sz w:val="24"/>
      <w:szCs w:val="24"/>
    </w:rPr>
  </w:style>
  <w:style w:type="paragraph" w:customStyle="1" w:styleId="46">
    <w:name w:val="PlainText"/>
    <w:basedOn w:val="1"/>
    <w:link w:val="45"/>
    <w:qFormat/>
    <w:uiPriority w:val="0"/>
    <w:pPr>
      <w:spacing w:before="100" w:beforeAutospacing="1" w:after="100" w:afterAutospacing="1"/>
    </w:pPr>
    <w:rPr>
      <w:rFonts w:ascii="宋体" w:hAnsi="宋体"/>
      <w:kern w:val="0"/>
      <w:sz w:val="24"/>
      <w:szCs w:val="24"/>
    </w:rPr>
  </w:style>
  <w:style w:type="character" w:customStyle="1" w:styleId="47">
    <w:name w:val="UserStyle_17"/>
    <w:link w:val="48"/>
    <w:semiHidden/>
    <w:qFormat/>
    <w:locked/>
    <w:uiPriority w:val="0"/>
    <w:rPr>
      <w:rFonts w:cs="Times New Roman"/>
      <w:b/>
      <w:bCs/>
      <w:sz w:val="24"/>
      <w:szCs w:val="24"/>
    </w:rPr>
  </w:style>
  <w:style w:type="paragraph" w:customStyle="1" w:styleId="48">
    <w:name w:val="AnnotationSubject"/>
    <w:basedOn w:val="41"/>
    <w:next w:val="41"/>
    <w:link w:val="47"/>
    <w:semiHidden/>
    <w:qFormat/>
    <w:uiPriority w:val="0"/>
    <w:rPr>
      <w:rFonts w:cs="Times New Roman"/>
      <w:b/>
      <w:bCs/>
    </w:rPr>
  </w:style>
  <w:style w:type="character" w:customStyle="1" w:styleId="49">
    <w:name w:val="UserStyle_18"/>
    <w:basedOn w:val="20"/>
    <w:qFormat/>
    <w:uiPriority w:val="0"/>
  </w:style>
  <w:style w:type="paragraph" w:customStyle="1" w:styleId="50">
    <w:name w:val="UserStyle_19"/>
    <w:basedOn w:val="1"/>
    <w:semiHidden/>
    <w:qFormat/>
    <w:uiPriority w:val="0"/>
    <w:pPr>
      <w:spacing w:after="160" w:line="240" w:lineRule="exact"/>
    </w:pPr>
    <w:rPr>
      <w:rFonts w:ascii="Arial" w:hAnsi="Arial"/>
      <w:kern w:val="0"/>
      <w:sz w:val="22"/>
      <w:szCs w:val="22"/>
      <w:lang w:eastAsia="en-US"/>
    </w:rPr>
  </w:style>
  <w:style w:type="paragraph" w:customStyle="1" w:styleId="51">
    <w:name w:val="UserStyle_20"/>
    <w:qFormat/>
    <w:uiPriority w:val="0"/>
    <w:pPr>
      <w:textAlignment w:val="baseline"/>
    </w:pPr>
    <w:rPr>
      <w:rFonts w:ascii="Calibri" w:hAnsi="Calibri" w:eastAsia="宋体" w:cstheme="minorBidi"/>
      <w:kern w:val="2"/>
      <w:sz w:val="24"/>
      <w:szCs w:val="24"/>
      <w:lang w:val="en-US" w:eastAsia="zh-CN" w:bidi="ar-SA"/>
    </w:rPr>
  </w:style>
  <w:style w:type="paragraph" w:customStyle="1" w:styleId="52">
    <w:name w:val="UserStyle_21"/>
    <w:basedOn w:val="1"/>
    <w:qFormat/>
    <w:uiPriority w:val="0"/>
    <w:pPr>
      <w:spacing w:before="100" w:beforeAutospacing="1" w:after="100" w:afterAutospacing="1" w:line="240" w:lineRule="auto"/>
    </w:pPr>
    <w:rPr>
      <w:rFonts w:ascii="宋体" w:hAnsi="宋体"/>
      <w:kern w:val="0"/>
    </w:rPr>
  </w:style>
  <w:style w:type="paragraph" w:customStyle="1" w:styleId="53">
    <w:name w:val="HtmlNormal"/>
    <w:basedOn w:val="1"/>
    <w:qFormat/>
    <w:uiPriority w:val="0"/>
    <w:pPr>
      <w:spacing w:before="100" w:beforeAutospacing="1" w:after="100" w:afterAutospacing="1"/>
    </w:pPr>
    <w:rPr>
      <w:rFonts w:ascii="宋体" w:hAnsi="宋体"/>
      <w:kern w:val="0"/>
    </w:rPr>
  </w:style>
  <w:style w:type="paragraph" w:customStyle="1" w:styleId="54">
    <w:name w:val="TOC2"/>
    <w:basedOn w:val="1"/>
    <w:next w:val="1"/>
    <w:semiHidden/>
    <w:qFormat/>
    <w:uiPriority w:val="0"/>
    <w:pPr>
      <w:ind w:left="420" w:leftChars="200"/>
    </w:pPr>
  </w:style>
  <w:style w:type="paragraph" w:customStyle="1" w:styleId="55">
    <w:name w:val="TOC3"/>
    <w:basedOn w:val="1"/>
    <w:next w:val="1"/>
    <w:semiHidden/>
    <w:qFormat/>
    <w:uiPriority w:val="0"/>
    <w:pPr>
      <w:ind w:left="840" w:leftChars="400"/>
    </w:pPr>
  </w:style>
  <w:style w:type="paragraph" w:customStyle="1" w:styleId="56">
    <w:name w:val="UserStyle_22"/>
    <w:basedOn w:val="1"/>
    <w:qFormat/>
    <w:uiPriority w:val="0"/>
    <w:pPr>
      <w:spacing w:before="120" w:after="120"/>
    </w:pPr>
    <w:rPr>
      <w:rFonts w:cs="Calibri"/>
      <w:b/>
      <w:bCs/>
    </w:rPr>
  </w:style>
  <w:style w:type="paragraph" w:customStyle="1" w:styleId="57">
    <w:name w:val="TOC1"/>
    <w:basedOn w:val="1"/>
    <w:next w:val="1"/>
    <w:semiHidden/>
    <w:qFormat/>
    <w:uiPriority w:val="0"/>
    <w:pPr>
      <w:tabs>
        <w:tab w:val="right" w:leader="dot" w:pos="8296"/>
      </w:tabs>
      <w:jc w:val="center"/>
    </w:pPr>
    <w:rPr>
      <w:sz w:val="32"/>
      <w:szCs w:val="32"/>
    </w:rPr>
  </w:style>
  <w:style w:type="paragraph" w:customStyle="1" w:styleId="58">
    <w:name w:val="UserStyle_23"/>
    <w:basedOn w:val="1"/>
    <w:qFormat/>
    <w:uiPriority w:val="0"/>
    <w:pPr>
      <w:ind w:firstLine="420" w:firstLineChars="200"/>
    </w:pPr>
  </w:style>
  <w:style w:type="paragraph" w:customStyle="1" w:styleId="59">
    <w:name w:val="UserStyle_24"/>
    <w:basedOn w:val="1"/>
    <w:qFormat/>
    <w:uiPriority w:val="0"/>
    <w:pPr>
      <w:spacing w:line="240" w:lineRule="auto"/>
      <w:ind w:firstLine="420" w:firstLineChars="200"/>
      <w:jc w:val="both"/>
    </w:pPr>
    <w:rPr>
      <w:sz w:val="21"/>
      <w:szCs w:val="21"/>
    </w:rPr>
  </w:style>
  <w:style w:type="table" w:customStyle="1" w:styleId="60">
    <w:name w:val="TableGrid"/>
    <w:basedOn w:val="21"/>
    <w:qFormat/>
    <w:uiPriority w:val="0"/>
    <w:tblPr>
      <w:tblCellMar>
        <w:top w:w="0" w:type="dxa"/>
        <w:left w:w="0" w:type="dxa"/>
        <w:bottom w:w="0" w:type="dxa"/>
        <w:right w:w="0" w:type="dxa"/>
      </w:tblCellMar>
    </w:tblPr>
  </w:style>
  <w:style w:type="character" w:customStyle="1" w:styleId="61">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21242</Words>
  <Characters>21667</Characters>
  <Lines>165</Lines>
  <Paragraphs>46</Paragraphs>
  <TotalTime>12</TotalTime>
  <ScaleCrop>false</ScaleCrop>
  <LinksUpToDate>false</LinksUpToDate>
  <CharactersWithSpaces>22143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2021-03-19T02:20:00Z</dcterms:created>
  <dc:creator>Administrator</dc:creator>
  <cp:lastModifiedBy>Administrator</cp:lastModifiedBy>
  <cp:lastPrinted>2021-09-08T07:47:00Z</cp:lastPrinted>
  <dcterms:modified xsi:type="dcterms:W3CDTF">2021-10-26T06:53:29Z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BC9CE06F8D034D55AB419386728BE713</vt:lpwstr>
  </property>
</Properties>
</file>